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F320" w14:textId="6A3FDFC7" w:rsidR="001F19E1" w:rsidRPr="00787451" w:rsidRDefault="0090190A" w:rsidP="00521E4F">
      <w:pPr>
        <w:spacing w:before="360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787451">
        <w:rPr>
          <w:rFonts w:ascii="Calibri" w:hAnsi="Calibri" w:cs="Calibri"/>
          <w:b/>
          <w:bCs/>
          <w:color w:val="0070C0"/>
          <w:sz w:val="28"/>
          <w:szCs w:val="28"/>
        </w:rPr>
        <w:t>202</w:t>
      </w:r>
      <w:r w:rsidR="006E5F69" w:rsidRPr="00787451">
        <w:rPr>
          <w:rFonts w:ascii="Calibri" w:hAnsi="Calibri" w:cs="Calibri"/>
          <w:b/>
          <w:bCs/>
          <w:color w:val="0070C0"/>
          <w:sz w:val="28"/>
          <w:szCs w:val="28"/>
        </w:rPr>
        <w:t>6</w:t>
      </w:r>
      <w:r w:rsidRPr="00787451">
        <w:rPr>
          <w:rFonts w:ascii="Calibri" w:hAnsi="Calibri" w:cs="Calibri"/>
          <w:b/>
          <w:bCs/>
          <w:color w:val="0070C0"/>
          <w:sz w:val="28"/>
          <w:szCs w:val="28"/>
        </w:rPr>
        <w:t xml:space="preserve"> Benefits </w:t>
      </w:r>
      <w:proofErr w:type="gramStart"/>
      <w:r w:rsidRPr="00787451">
        <w:rPr>
          <w:rFonts w:ascii="Calibri" w:hAnsi="Calibri" w:cs="Calibri"/>
          <w:b/>
          <w:bCs/>
          <w:color w:val="0070C0"/>
          <w:sz w:val="28"/>
          <w:szCs w:val="28"/>
        </w:rPr>
        <w:t>at</w:t>
      </w:r>
      <w:r w:rsidR="004C42B7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r w:rsidRPr="00787451">
        <w:rPr>
          <w:rFonts w:ascii="Calibri" w:hAnsi="Calibri" w:cs="Calibri"/>
          <w:b/>
          <w:bCs/>
          <w:color w:val="0070C0"/>
          <w:sz w:val="28"/>
          <w:szCs w:val="28"/>
        </w:rPr>
        <w:t>a</w:t>
      </w:r>
      <w:r w:rsidR="004C42B7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r w:rsidRPr="00787451">
        <w:rPr>
          <w:rFonts w:ascii="Calibri" w:hAnsi="Calibri" w:cs="Calibri"/>
          <w:b/>
          <w:bCs/>
          <w:color w:val="0070C0"/>
          <w:sz w:val="28"/>
          <w:szCs w:val="28"/>
        </w:rPr>
        <w:t>Glance</w:t>
      </w:r>
      <w:proofErr w:type="gramEnd"/>
    </w:p>
    <w:p w14:paraId="02C9C158" w14:textId="37338188" w:rsidR="0090190A" w:rsidRDefault="0043342F" w:rsidP="005967D4">
      <w:pPr>
        <w:spacing w:after="0"/>
        <w:rPr>
          <w:rFonts w:ascii="Calibri" w:hAnsi="Calibri" w:cs="Calibri"/>
          <w:b/>
          <w:bCs/>
          <w:color w:val="0070C0"/>
        </w:rPr>
      </w:pPr>
      <w:r w:rsidRPr="00787451">
        <w:rPr>
          <w:rFonts w:ascii="Calibri" w:hAnsi="Calibri" w:cs="Calibri"/>
          <w:b/>
          <w:bCs/>
          <w:color w:val="0070C0"/>
        </w:rPr>
        <w:t>Medical ∙ Blue Shield of California</w:t>
      </w:r>
    </w:p>
    <w:p w14:paraId="03CEDD61" w14:textId="77777777" w:rsidR="00787451" w:rsidRPr="00787451" w:rsidRDefault="00787451" w:rsidP="005967D4">
      <w:pPr>
        <w:spacing w:after="0"/>
        <w:rPr>
          <w:rFonts w:ascii="Calibri" w:hAnsi="Calibri" w:cs="Calibri"/>
          <w:b/>
          <w:bCs/>
          <w:color w:val="0070C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2578"/>
        <w:gridCol w:w="2308"/>
        <w:gridCol w:w="2309"/>
      </w:tblGrid>
      <w:tr w:rsidR="007D300D" w:rsidRPr="00787451" w14:paraId="06CFEFB6" w14:textId="0870F819" w:rsidTr="005967D4">
        <w:trPr>
          <w:jc w:val="center"/>
        </w:trPr>
        <w:tc>
          <w:tcPr>
            <w:tcW w:w="2155" w:type="dxa"/>
            <w:vMerge w:val="restart"/>
          </w:tcPr>
          <w:p w14:paraId="0DB7D910" w14:textId="77777777" w:rsidR="007D300D" w:rsidRPr="00787451" w:rsidRDefault="007D300D" w:rsidP="0043342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0070C0"/>
            <w:vAlign w:val="center"/>
          </w:tcPr>
          <w:p w14:paraId="610EEC6A" w14:textId="6A30852C" w:rsidR="007D300D" w:rsidRPr="00787451" w:rsidRDefault="007D300D" w:rsidP="00EE147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87451">
              <w:rPr>
                <w:rFonts w:ascii="Calibri" w:hAnsi="Calibri" w:cs="Calibri"/>
                <w:b/>
                <w:bCs/>
                <w:color w:val="FFFFFF" w:themeColor="background1"/>
              </w:rPr>
              <w:t>HMO</w:t>
            </w:r>
          </w:p>
        </w:tc>
        <w:tc>
          <w:tcPr>
            <w:tcW w:w="4617" w:type="dxa"/>
            <w:gridSpan w:val="2"/>
            <w:shd w:val="clear" w:color="auto" w:fill="0070C0"/>
            <w:vAlign w:val="center"/>
          </w:tcPr>
          <w:p w14:paraId="70EA8F20" w14:textId="42A620D3" w:rsidR="007D300D" w:rsidRPr="00787451" w:rsidRDefault="007D300D" w:rsidP="00EE147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87451">
              <w:rPr>
                <w:rFonts w:ascii="Calibri" w:hAnsi="Calibri" w:cs="Calibri"/>
                <w:b/>
                <w:bCs/>
                <w:color w:val="FFFFFF" w:themeColor="background1"/>
              </w:rPr>
              <w:t>PPO</w:t>
            </w:r>
          </w:p>
        </w:tc>
      </w:tr>
      <w:tr w:rsidR="007D300D" w:rsidRPr="00787451" w14:paraId="423730DE" w14:textId="77777777" w:rsidTr="005967D4">
        <w:trPr>
          <w:jc w:val="center"/>
        </w:trPr>
        <w:tc>
          <w:tcPr>
            <w:tcW w:w="2155" w:type="dxa"/>
            <w:vMerge/>
          </w:tcPr>
          <w:p w14:paraId="14C3CA1E" w14:textId="77777777" w:rsidR="007D300D" w:rsidRPr="00787451" w:rsidRDefault="007D300D" w:rsidP="0043342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DAE9F7" w:themeFill="text2" w:themeFillTint="1A"/>
            <w:vAlign w:val="center"/>
          </w:tcPr>
          <w:p w14:paraId="362D9426" w14:textId="36A68B9B" w:rsidR="007D300D" w:rsidRPr="00787451" w:rsidRDefault="00A20934" w:rsidP="00EE14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In-</w:t>
            </w:r>
            <w:r w:rsidR="007D300D" w:rsidRPr="00787451">
              <w:rPr>
                <w:rFonts w:ascii="Calibri" w:hAnsi="Calibri" w:cs="Calibri"/>
                <w:b/>
                <w:bCs/>
              </w:rPr>
              <w:t>Network O</w:t>
            </w:r>
            <w:r w:rsidR="00EE147D" w:rsidRPr="00787451">
              <w:rPr>
                <w:rFonts w:ascii="Calibri" w:hAnsi="Calibri" w:cs="Calibri"/>
                <w:b/>
                <w:bCs/>
              </w:rPr>
              <w:t>nly</w:t>
            </w:r>
          </w:p>
        </w:tc>
        <w:tc>
          <w:tcPr>
            <w:tcW w:w="2308" w:type="dxa"/>
            <w:shd w:val="clear" w:color="auto" w:fill="DAE9F7" w:themeFill="text2" w:themeFillTint="1A"/>
            <w:vAlign w:val="center"/>
          </w:tcPr>
          <w:p w14:paraId="0D9958F0" w14:textId="04D2E127" w:rsidR="007D300D" w:rsidRPr="00787451" w:rsidRDefault="00A20934" w:rsidP="00EE14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In-</w:t>
            </w:r>
            <w:r w:rsidR="007D300D" w:rsidRPr="00787451">
              <w:rPr>
                <w:rFonts w:ascii="Calibri" w:hAnsi="Calibri" w:cs="Calibri"/>
                <w:b/>
                <w:bCs/>
              </w:rPr>
              <w:t>Network</w:t>
            </w:r>
          </w:p>
        </w:tc>
        <w:tc>
          <w:tcPr>
            <w:tcW w:w="2309" w:type="dxa"/>
            <w:shd w:val="clear" w:color="auto" w:fill="DAE9F7" w:themeFill="text2" w:themeFillTint="1A"/>
            <w:vAlign w:val="center"/>
          </w:tcPr>
          <w:p w14:paraId="4EF5AE94" w14:textId="36B75B5D" w:rsidR="007D300D" w:rsidRPr="00787451" w:rsidRDefault="00A20934" w:rsidP="00EE14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Out-of-</w:t>
            </w:r>
            <w:r w:rsidR="007D300D" w:rsidRPr="00787451">
              <w:rPr>
                <w:rFonts w:ascii="Calibri" w:hAnsi="Calibri" w:cs="Calibri"/>
                <w:b/>
                <w:bCs/>
              </w:rPr>
              <w:t>Network</w:t>
            </w:r>
          </w:p>
        </w:tc>
      </w:tr>
      <w:tr w:rsidR="004B1E67" w:rsidRPr="00787451" w14:paraId="0755695B" w14:textId="7181B9BB" w:rsidTr="005967D4">
        <w:trPr>
          <w:jc w:val="center"/>
        </w:trPr>
        <w:tc>
          <w:tcPr>
            <w:tcW w:w="2155" w:type="dxa"/>
            <w:vAlign w:val="center"/>
          </w:tcPr>
          <w:p w14:paraId="722BDDF9" w14:textId="48C8EECF" w:rsidR="004B1E67" w:rsidRPr="00787451" w:rsidRDefault="004B1E67" w:rsidP="00EE14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7451">
              <w:rPr>
                <w:rFonts w:ascii="Calibri" w:hAnsi="Calibri" w:cs="Calibri"/>
                <w:b/>
                <w:bCs/>
                <w:sz w:val="20"/>
                <w:szCs w:val="20"/>
              </w:rPr>
              <w:t>Preventive Care</w:t>
            </w:r>
          </w:p>
        </w:tc>
        <w:tc>
          <w:tcPr>
            <w:tcW w:w="2578" w:type="dxa"/>
            <w:vAlign w:val="center"/>
          </w:tcPr>
          <w:p w14:paraId="17EF96E4" w14:textId="4EDC358A" w:rsidR="004B1E67" w:rsidRPr="00787451" w:rsidRDefault="00EE147D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No Charge</w:t>
            </w:r>
          </w:p>
        </w:tc>
        <w:tc>
          <w:tcPr>
            <w:tcW w:w="2308" w:type="dxa"/>
            <w:vAlign w:val="center"/>
          </w:tcPr>
          <w:p w14:paraId="5D7C5F00" w14:textId="1B706AE1" w:rsidR="004B1E67" w:rsidRPr="00787451" w:rsidRDefault="00EE147D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No Charge</w:t>
            </w:r>
          </w:p>
        </w:tc>
        <w:tc>
          <w:tcPr>
            <w:tcW w:w="2309" w:type="dxa"/>
            <w:vAlign w:val="center"/>
          </w:tcPr>
          <w:p w14:paraId="18BF258F" w14:textId="6D4C8576" w:rsidR="004B1E67" w:rsidRPr="00787451" w:rsidRDefault="00AF07B2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Not Covered</w:t>
            </w:r>
          </w:p>
        </w:tc>
      </w:tr>
      <w:tr w:rsidR="004B1E67" w:rsidRPr="00787451" w14:paraId="76AC19D8" w14:textId="7810A4B4" w:rsidTr="005967D4">
        <w:trPr>
          <w:jc w:val="center"/>
        </w:trPr>
        <w:tc>
          <w:tcPr>
            <w:tcW w:w="2155" w:type="dxa"/>
            <w:shd w:val="clear" w:color="auto" w:fill="DAE9F7" w:themeFill="text2" w:themeFillTint="1A"/>
            <w:vAlign w:val="center"/>
          </w:tcPr>
          <w:p w14:paraId="72B7802D" w14:textId="2689EEDA" w:rsidR="004B1E67" w:rsidRPr="00787451" w:rsidRDefault="004B1E67" w:rsidP="00EE14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7451">
              <w:rPr>
                <w:rFonts w:ascii="Calibri" w:hAnsi="Calibri" w:cs="Calibri"/>
                <w:b/>
                <w:bCs/>
                <w:sz w:val="20"/>
                <w:szCs w:val="20"/>
              </w:rPr>
              <w:t>Annual Deductible</w:t>
            </w:r>
          </w:p>
        </w:tc>
        <w:tc>
          <w:tcPr>
            <w:tcW w:w="2578" w:type="dxa"/>
            <w:shd w:val="clear" w:color="auto" w:fill="DAE9F7" w:themeFill="text2" w:themeFillTint="1A"/>
            <w:vAlign w:val="center"/>
          </w:tcPr>
          <w:p w14:paraId="04BD406D" w14:textId="2BA8DF7A" w:rsidR="004B1E67" w:rsidRPr="00787451" w:rsidRDefault="004B1E67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N/A</w:t>
            </w:r>
          </w:p>
        </w:tc>
        <w:tc>
          <w:tcPr>
            <w:tcW w:w="2308" w:type="dxa"/>
            <w:shd w:val="clear" w:color="auto" w:fill="DAE9F7" w:themeFill="text2" w:themeFillTint="1A"/>
            <w:vAlign w:val="center"/>
          </w:tcPr>
          <w:p w14:paraId="4A82081D" w14:textId="3C46A5E1" w:rsidR="004B1E67" w:rsidRPr="00787451" w:rsidRDefault="004B1E67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 xml:space="preserve">$500 </w:t>
            </w:r>
            <w:r w:rsidR="00521E4F" w:rsidRPr="00787451">
              <w:rPr>
                <w:rFonts w:ascii="Calibri" w:hAnsi="Calibri" w:cs="Calibri"/>
              </w:rPr>
              <w:t>I</w:t>
            </w:r>
            <w:r w:rsidRPr="00787451">
              <w:rPr>
                <w:rFonts w:ascii="Calibri" w:hAnsi="Calibri" w:cs="Calibri"/>
              </w:rPr>
              <w:t>ndividual</w:t>
            </w:r>
          </w:p>
          <w:p w14:paraId="6B5D55A9" w14:textId="752FE77B" w:rsidR="004B1E67" w:rsidRPr="00787451" w:rsidRDefault="00521E4F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$1,500 F</w:t>
            </w:r>
            <w:r w:rsidR="004B1E67" w:rsidRPr="00787451">
              <w:rPr>
                <w:rFonts w:ascii="Calibri" w:hAnsi="Calibri" w:cs="Calibri"/>
              </w:rPr>
              <w:t>amily</w:t>
            </w:r>
          </w:p>
        </w:tc>
        <w:tc>
          <w:tcPr>
            <w:tcW w:w="2309" w:type="dxa"/>
            <w:shd w:val="clear" w:color="auto" w:fill="DAE9F7" w:themeFill="text2" w:themeFillTint="1A"/>
            <w:vAlign w:val="center"/>
          </w:tcPr>
          <w:p w14:paraId="73788045" w14:textId="715714B6" w:rsidR="004B1E67" w:rsidRPr="00787451" w:rsidRDefault="00521E4F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$2,000 I</w:t>
            </w:r>
            <w:r w:rsidR="007D300D" w:rsidRPr="00787451">
              <w:rPr>
                <w:rFonts w:ascii="Calibri" w:hAnsi="Calibri" w:cs="Calibri"/>
              </w:rPr>
              <w:t>ndividual</w:t>
            </w:r>
          </w:p>
          <w:p w14:paraId="318B91B7" w14:textId="0A8880D9" w:rsidR="007D300D" w:rsidRPr="00787451" w:rsidRDefault="00521E4F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$6,000 F</w:t>
            </w:r>
            <w:r w:rsidR="007D300D" w:rsidRPr="00787451">
              <w:rPr>
                <w:rFonts w:ascii="Calibri" w:hAnsi="Calibri" w:cs="Calibri"/>
              </w:rPr>
              <w:t>amily</w:t>
            </w:r>
          </w:p>
        </w:tc>
      </w:tr>
      <w:tr w:rsidR="004B1E67" w:rsidRPr="00787451" w14:paraId="3A47822C" w14:textId="5261EAED" w:rsidTr="005967D4">
        <w:trPr>
          <w:jc w:val="center"/>
        </w:trPr>
        <w:tc>
          <w:tcPr>
            <w:tcW w:w="2155" w:type="dxa"/>
            <w:vAlign w:val="center"/>
          </w:tcPr>
          <w:p w14:paraId="43687193" w14:textId="2B0AF56E" w:rsidR="004B1E67" w:rsidRPr="00787451" w:rsidRDefault="004B1E67" w:rsidP="00EE14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7451">
              <w:rPr>
                <w:rFonts w:ascii="Calibri" w:hAnsi="Calibri" w:cs="Calibri"/>
                <w:b/>
                <w:bCs/>
                <w:sz w:val="20"/>
                <w:szCs w:val="20"/>
              </w:rPr>
              <w:t>Office Visit</w:t>
            </w:r>
          </w:p>
        </w:tc>
        <w:tc>
          <w:tcPr>
            <w:tcW w:w="2578" w:type="dxa"/>
            <w:vAlign w:val="center"/>
          </w:tcPr>
          <w:p w14:paraId="18D9E2DB" w14:textId="766E95F3" w:rsidR="004B1E67" w:rsidRPr="00787451" w:rsidRDefault="004B1E67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$15 copay</w:t>
            </w:r>
          </w:p>
        </w:tc>
        <w:tc>
          <w:tcPr>
            <w:tcW w:w="2308" w:type="dxa"/>
            <w:vAlign w:val="center"/>
          </w:tcPr>
          <w:p w14:paraId="79E0A5D9" w14:textId="790995E4" w:rsidR="004B1E67" w:rsidRPr="00787451" w:rsidRDefault="007D300D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$20 copay</w:t>
            </w:r>
          </w:p>
        </w:tc>
        <w:tc>
          <w:tcPr>
            <w:tcW w:w="2309" w:type="dxa"/>
            <w:vAlign w:val="center"/>
          </w:tcPr>
          <w:p w14:paraId="117E70F3" w14:textId="14370D01" w:rsidR="004B1E67" w:rsidRPr="00787451" w:rsidRDefault="00EE147D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40% coinsurance</w:t>
            </w:r>
          </w:p>
        </w:tc>
      </w:tr>
      <w:tr w:rsidR="004B1E67" w:rsidRPr="00787451" w14:paraId="745C41B4" w14:textId="3ABFCE81" w:rsidTr="005967D4">
        <w:trPr>
          <w:jc w:val="center"/>
        </w:trPr>
        <w:tc>
          <w:tcPr>
            <w:tcW w:w="2155" w:type="dxa"/>
            <w:shd w:val="clear" w:color="auto" w:fill="DAE9F7" w:themeFill="text2" w:themeFillTint="1A"/>
            <w:vAlign w:val="center"/>
          </w:tcPr>
          <w:p w14:paraId="230038A1" w14:textId="16B88DB6" w:rsidR="004B1E67" w:rsidRPr="00787451" w:rsidRDefault="004B1E67" w:rsidP="00EE14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7451">
              <w:rPr>
                <w:rFonts w:ascii="Calibri" w:hAnsi="Calibri" w:cs="Calibri"/>
                <w:b/>
                <w:bCs/>
                <w:sz w:val="20"/>
                <w:szCs w:val="20"/>
              </w:rPr>
              <w:t>Out of Pocket Max</w:t>
            </w:r>
          </w:p>
        </w:tc>
        <w:tc>
          <w:tcPr>
            <w:tcW w:w="2578" w:type="dxa"/>
            <w:shd w:val="clear" w:color="auto" w:fill="DAE9F7" w:themeFill="text2" w:themeFillTint="1A"/>
            <w:vAlign w:val="center"/>
          </w:tcPr>
          <w:p w14:paraId="5CF5358E" w14:textId="2795F837" w:rsidR="004B1E67" w:rsidRPr="00787451" w:rsidRDefault="00521E4F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$7,500 I</w:t>
            </w:r>
            <w:r w:rsidR="004B1E67" w:rsidRPr="00787451">
              <w:rPr>
                <w:rFonts w:ascii="Calibri" w:hAnsi="Calibri" w:cs="Calibri"/>
              </w:rPr>
              <w:t>ndividual</w:t>
            </w:r>
          </w:p>
          <w:p w14:paraId="5A893A6D" w14:textId="5E3D0819" w:rsidR="004B1E67" w:rsidRPr="00787451" w:rsidRDefault="00521E4F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$15,000 F</w:t>
            </w:r>
            <w:r w:rsidR="004B1E67" w:rsidRPr="00787451">
              <w:rPr>
                <w:rFonts w:ascii="Calibri" w:hAnsi="Calibri" w:cs="Calibri"/>
              </w:rPr>
              <w:t>amily</w:t>
            </w:r>
          </w:p>
        </w:tc>
        <w:tc>
          <w:tcPr>
            <w:tcW w:w="2308" w:type="dxa"/>
            <w:shd w:val="clear" w:color="auto" w:fill="DAE9F7" w:themeFill="text2" w:themeFillTint="1A"/>
            <w:vAlign w:val="center"/>
          </w:tcPr>
          <w:p w14:paraId="25F571FB" w14:textId="5773D6BC" w:rsidR="004B1E67" w:rsidRPr="00787451" w:rsidRDefault="00521E4F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$7,500 I</w:t>
            </w:r>
            <w:r w:rsidR="004B1E67" w:rsidRPr="00787451">
              <w:rPr>
                <w:rFonts w:ascii="Calibri" w:hAnsi="Calibri" w:cs="Calibri"/>
              </w:rPr>
              <w:t>ndividual</w:t>
            </w:r>
          </w:p>
          <w:p w14:paraId="5D933B71" w14:textId="2C3EC50D" w:rsidR="004B1E67" w:rsidRPr="00787451" w:rsidRDefault="00521E4F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$15,00 F</w:t>
            </w:r>
            <w:r w:rsidR="004B1E67" w:rsidRPr="00787451">
              <w:rPr>
                <w:rFonts w:ascii="Calibri" w:hAnsi="Calibri" w:cs="Calibri"/>
              </w:rPr>
              <w:t>amily</w:t>
            </w:r>
          </w:p>
        </w:tc>
        <w:tc>
          <w:tcPr>
            <w:tcW w:w="2309" w:type="dxa"/>
            <w:shd w:val="clear" w:color="auto" w:fill="DAE9F7" w:themeFill="text2" w:themeFillTint="1A"/>
            <w:vAlign w:val="center"/>
          </w:tcPr>
          <w:p w14:paraId="2A3EB856" w14:textId="3DFDEF4D" w:rsidR="004B1E67" w:rsidRPr="00787451" w:rsidRDefault="007D300D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 xml:space="preserve">$15,000 </w:t>
            </w:r>
            <w:r w:rsidR="00521E4F" w:rsidRPr="00787451">
              <w:rPr>
                <w:rFonts w:ascii="Calibri" w:hAnsi="Calibri" w:cs="Calibri"/>
              </w:rPr>
              <w:t>I</w:t>
            </w:r>
            <w:r w:rsidRPr="00787451">
              <w:rPr>
                <w:rFonts w:ascii="Calibri" w:hAnsi="Calibri" w:cs="Calibri"/>
              </w:rPr>
              <w:t>ndividual</w:t>
            </w:r>
          </w:p>
          <w:p w14:paraId="6B61F57D" w14:textId="04949CE8" w:rsidR="007D300D" w:rsidRPr="00787451" w:rsidRDefault="00521E4F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$30,000 F</w:t>
            </w:r>
            <w:r w:rsidR="007D300D" w:rsidRPr="00787451">
              <w:rPr>
                <w:rFonts w:ascii="Calibri" w:hAnsi="Calibri" w:cs="Calibri"/>
              </w:rPr>
              <w:t>amily</w:t>
            </w:r>
          </w:p>
        </w:tc>
      </w:tr>
    </w:tbl>
    <w:p w14:paraId="0310899F" w14:textId="77777777" w:rsidR="0043342F" w:rsidRPr="00787451" w:rsidRDefault="0043342F" w:rsidP="006E5F69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696E3915" w14:textId="69B77311" w:rsidR="007D300D" w:rsidRDefault="007D300D" w:rsidP="005967D4">
      <w:pPr>
        <w:spacing w:after="0"/>
        <w:rPr>
          <w:rFonts w:ascii="Calibri" w:hAnsi="Calibri" w:cs="Calibri"/>
          <w:b/>
          <w:bCs/>
          <w:color w:val="0070C0"/>
        </w:rPr>
      </w:pPr>
      <w:r w:rsidRPr="00787451">
        <w:rPr>
          <w:rFonts w:ascii="Calibri" w:hAnsi="Calibri" w:cs="Calibri"/>
          <w:b/>
          <w:bCs/>
          <w:color w:val="0070C0"/>
        </w:rPr>
        <w:t xml:space="preserve">Telemedicine ∙ </w:t>
      </w:r>
      <w:r w:rsidR="002F039B" w:rsidRPr="00787451">
        <w:rPr>
          <w:rFonts w:ascii="Calibri" w:hAnsi="Calibri" w:cs="Calibri"/>
          <w:b/>
          <w:bCs/>
          <w:color w:val="0070C0"/>
        </w:rPr>
        <w:t>Teladoc</w:t>
      </w:r>
    </w:p>
    <w:p w14:paraId="1980C408" w14:textId="77777777" w:rsidR="00787451" w:rsidRPr="00787451" w:rsidRDefault="00787451" w:rsidP="005967D4">
      <w:pPr>
        <w:spacing w:after="0"/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6291D65C" w14:textId="77777777" w:rsidR="00521E4F" w:rsidRPr="00787451" w:rsidRDefault="002F039B" w:rsidP="00521E4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787451">
        <w:rPr>
          <w:rFonts w:ascii="Calibri" w:hAnsi="Calibri" w:cs="Calibri"/>
        </w:rPr>
        <w:t>Teladoc</w:t>
      </w:r>
      <w:r w:rsidR="001F19E1" w:rsidRPr="00787451">
        <w:rPr>
          <w:rFonts w:ascii="Calibri" w:hAnsi="Calibri" w:cs="Calibri"/>
        </w:rPr>
        <w:t xml:space="preserve"> 24/7 access to doctors – use your smartphone, tablet</w:t>
      </w:r>
      <w:r w:rsidR="00521E4F" w:rsidRPr="00787451">
        <w:rPr>
          <w:rFonts w:ascii="Calibri" w:hAnsi="Calibri" w:cs="Calibri"/>
        </w:rPr>
        <w:t>,</w:t>
      </w:r>
      <w:r w:rsidR="001F19E1" w:rsidRPr="00787451">
        <w:rPr>
          <w:rFonts w:ascii="Calibri" w:hAnsi="Calibri" w:cs="Calibri"/>
        </w:rPr>
        <w:t xml:space="preserve"> or computer</w:t>
      </w:r>
      <w:r w:rsidR="00521E4F" w:rsidRPr="00787451">
        <w:rPr>
          <w:rFonts w:ascii="Calibri" w:hAnsi="Calibri" w:cs="Calibri"/>
        </w:rPr>
        <w:t>, $0 copay</w:t>
      </w:r>
    </w:p>
    <w:p w14:paraId="60651FF2" w14:textId="4ECB9949" w:rsidR="00D12531" w:rsidRPr="00787451" w:rsidRDefault="001F19E1" w:rsidP="00521E4F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787451">
        <w:rPr>
          <w:rFonts w:ascii="Calibri" w:hAnsi="Calibri" w:cs="Calibri"/>
        </w:rPr>
        <w:t>Mental Health – talk to a licensed therapist</w:t>
      </w:r>
      <w:r w:rsidR="00521E4F" w:rsidRPr="00787451">
        <w:rPr>
          <w:rFonts w:ascii="Calibri" w:hAnsi="Calibri" w:cs="Calibri"/>
        </w:rPr>
        <w:t>.</w:t>
      </w:r>
      <w:r w:rsidRPr="00787451">
        <w:rPr>
          <w:rFonts w:ascii="Calibri" w:hAnsi="Calibri" w:cs="Calibri"/>
        </w:rPr>
        <w:t xml:space="preserve"> </w:t>
      </w:r>
      <w:r w:rsidR="00521E4F" w:rsidRPr="00787451">
        <w:rPr>
          <w:rFonts w:ascii="Calibri" w:hAnsi="Calibri" w:cs="Calibri"/>
        </w:rPr>
        <w:t xml:space="preserve"> A</w:t>
      </w:r>
      <w:r w:rsidRPr="00787451">
        <w:rPr>
          <w:rFonts w:ascii="Calibri" w:hAnsi="Calibri" w:cs="Calibri"/>
        </w:rPr>
        <w:t xml:space="preserve">ppointments </w:t>
      </w:r>
      <w:r w:rsidR="00370DF9" w:rsidRPr="00787451">
        <w:rPr>
          <w:rFonts w:ascii="Calibri" w:hAnsi="Calibri" w:cs="Calibri"/>
        </w:rPr>
        <w:t>are usually available</w:t>
      </w:r>
      <w:r w:rsidRPr="00787451">
        <w:rPr>
          <w:rFonts w:ascii="Calibri" w:hAnsi="Calibri" w:cs="Calibri"/>
        </w:rPr>
        <w:t xml:space="preserve"> within 4 days. </w:t>
      </w:r>
    </w:p>
    <w:p w14:paraId="14E153A3" w14:textId="77777777" w:rsidR="00521E4F" w:rsidRPr="00787451" w:rsidRDefault="00521E4F" w:rsidP="00521E4F">
      <w:pPr>
        <w:spacing w:after="0"/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2D49C4B8" w14:textId="34B4BDC7" w:rsidR="00593062" w:rsidRDefault="00593062" w:rsidP="005967D4">
      <w:pPr>
        <w:spacing w:after="0"/>
        <w:rPr>
          <w:rFonts w:ascii="Calibri" w:hAnsi="Calibri" w:cs="Calibri"/>
          <w:b/>
          <w:bCs/>
          <w:color w:val="0070C0"/>
        </w:rPr>
      </w:pPr>
      <w:r w:rsidRPr="00787451">
        <w:rPr>
          <w:rFonts w:ascii="Calibri" w:hAnsi="Calibri" w:cs="Calibri"/>
          <w:b/>
          <w:bCs/>
          <w:color w:val="0070C0"/>
        </w:rPr>
        <w:t>Dental ∙ Delta Dental</w:t>
      </w:r>
    </w:p>
    <w:p w14:paraId="5669C19C" w14:textId="77777777" w:rsidR="00787451" w:rsidRPr="00787451" w:rsidRDefault="00787451" w:rsidP="005967D4">
      <w:pPr>
        <w:spacing w:after="0"/>
        <w:rPr>
          <w:rFonts w:ascii="Calibri" w:hAnsi="Calibri" w:cs="Calibri"/>
          <w:b/>
          <w:bCs/>
          <w:color w:val="0070C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296C" w:rsidRPr="00787451" w14:paraId="6234FE91" w14:textId="77777777" w:rsidTr="005967D4">
        <w:trPr>
          <w:jc w:val="center"/>
        </w:trPr>
        <w:tc>
          <w:tcPr>
            <w:tcW w:w="2337" w:type="dxa"/>
            <w:shd w:val="clear" w:color="auto" w:fill="0070C0"/>
          </w:tcPr>
          <w:p w14:paraId="6BCE4EF6" w14:textId="77777777" w:rsidR="0056296C" w:rsidRPr="00787451" w:rsidRDefault="0056296C" w:rsidP="00606E9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337" w:type="dxa"/>
            <w:shd w:val="clear" w:color="auto" w:fill="0070C0"/>
            <w:vAlign w:val="center"/>
          </w:tcPr>
          <w:p w14:paraId="64B81E96" w14:textId="65C9AAC8" w:rsidR="0056296C" w:rsidRPr="00787451" w:rsidRDefault="0056296C" w:rsidP="00EE147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87451">
              <w:rPr>
                <w:rFonts w:ascii="Calibri" w:hAnsi="Calibri" w:cs="Calibri"/>
                <w:b/>
                <w:bCs/>
                <w:color w:val="FFFFFF" w:themeColor="background1"/>
              </w:rPr>
              <w:t>HMO</w:t>
            </w:r>
            <w:r w:rsidR="00606E96" w:rsidRPr="0078745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(CA, </w:t>
            </w:r>
            <w:r w:rsidR="006E5F69" w:rsidRPr="00787451">
              <w:rPr>
                <w:rFonts w:ascii="Calibri" w:hAnsi="Calibri" w:cs="Calibri"/>
                <w:b/>
                <w:bCs/>
                <w:color w:val="FFFFFF" w:themeColor="background1"/>
              </w:rPr>
              <w:t>TX</w:t>
            </w:r>
            <w:r w:rsidR="00606E96" w:rsidRPr="0078745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only)</w:t>
            </w:r>
          </w:p>
        </w:tc>
        <w:tc>
          <w:tcPr>
            <w:tcW w:w="2338" w:type="dxa"/>
            <w:shd w:val="clear" w:color="auto" w:fill="0070C0"/>
            <w:vAlign w:val="center"/>
          </w:tcPr>
          <w:p w14:paraId="067A5E00" w14:textId="1E58805F" w:rsidR="0056296C" w:rsidRPr="00787451" w:rsidRDefault="0056296C" w:rsidP="00EE147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87451">
              <w:rPr>
                <w:rFonts w:ascii="Calibri" w:hAnsi="Calibri" w:cs="Calibri"/>
                <w:b/>
                <w:bCs/>
                <w:color w:val="FFFFFF" w:themeColor="background1"/>
              </w:rPr>
              <w:t>PPO (Low)</w:t>
            </w:r>
          </w:p>
        </w:tc>
        <w:tc>
          <w:tcPr>
            <w:tcW w:w="2338" w:type="dxa"/>
            <w:shd w:val="clear" w:color="auto" w:fill="0070C0"/>
            <w:vAlign w:val="center"/>
          </w:tcPr>
          <w:p w14:paraId="1F74E2FE" w14:textId="01F90A87" w:rsidR="0056296C" w:rsidRPr="00787451" w:rsidRDefault="0056296C" w:rsidP="00EE147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87451">
              <w:rPr>
                <w:rFonts w:ascii="Calibri" w:hAnsi="Calibri" w:cs="Calibri"/>
                <w:b/>
                <w:bCs/>
                <w:color w:val="FFFFFF" w:themeColor="background1"/>
              </w:rPr>
              <w:t>PPO (High)</w:t>
            </w:r>
          </w:p>
        </w:tc>
      </w:tr>
      <w:tr w:rsidR="00E45D52" w:rsidRPr="00787451" w14:paraId="032055B0" w14:textId="77777777" w:rsidTr="005967D4">
        <w:trPr>
          <w:jc w:val="center"/>
        </w:trPr>
        <w:tc>
          <w:tcPr>
            <w:tcW w:w="2337" w:type="dxa"/>
            <w:vAlign w:val="center"/>
          </w:tcPr>
          <w:p w14:paraId="7E4EF8E9" w14:textId="0F736639" w:rsidR="00E45D52" w:rsidRPr="00787451" w:rsidRDefault="00E45D52" w:rsidP="00EE147D">
            <w:pPr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Preventive Care</w:t>
            </w: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14:paraId="36B00C70" w14:textId="0927AFA4" w:rsidR="00E45D52" w:rsidRPr="00787451" w:rsidRDefault="00747C36" w:rsidP="00EE147D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787451">
              <w:rPr>
                <w:rFonts w:ascii="Calibri" w:hAnsi="Calibri" w:cs="Calibri"/>
              </w:rPr>
              <w:t>Covered 100%</w:t>
            </w:r>
          </w:p>
        </w:tc>
        <w:tc>
          <w:tcPr>
            <w:tcW w:w="2338" w:type="dxa"/>
            <w:vAlign w:val="center"/>
          </w:tcPr>
          <w:p w14:paraId="1ADA0007" w14:textId="75FDFF84" w:rsidR="00E45D52" w:rsidRPr="00787451" w:rsidRDefault="00747C36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Covered 100%</w:t>
            </w:r>
          </w:p>
        </w:tc>
        <w:tc>
          <w:tcPr>
            <w:tcW w:w="2338" w:type="dxa"/>
            <w:vAlign w:val="center"/>
          </w:tcPr>
          <w:p w14:paraId="383FD021" w14:textId="41663F8D" w:rsidR="00E45D52" w:rsidRPr="00787451" w:rsidRDefault="00747C36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Covered 100%</w:t>
            </w:r>
          </w:p>
        </w:tc>
      </w:tr>
      <w:tr w:rsidR="0056296C" w:rsidRPr="00787451" w14:paraId="729CB8D9" w14:textId="77777777" w:rsidTr="005967D4">
        <w:trPr>
          <w:jc w:val="center"/>
        </w:trPr>
        <w:tc>
          <w:tcPr>
            <w:tcW w:w="2337" w:type="dxa"/>
            <w:shd w:val="clear" w:color="auto" w:fill="DAE9F7" w:themeFill="text2" w:themeFillTint="1A"/>
            <w:vAlign w:val="center"/>
          </w:tcPr>
          <w:p w14:paraId="2616E7C7" w14:textId="026CF263" w:rsidR="0056296C" w:rsidRPr="00787451" w:rsidRDefault="00606E96" w:rsidP="00EE147D">
            <w:pPr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Annual Deductible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57C694BC" w14:textId="76AE4E2C" w:rsidR="0056296C" w:rsidRPr="00787451" w:rsidRDefault="00606E96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N/A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625664AE" w14:textId="77777777" w:rsidR="0056296C" w:rsidRPr="00787451" w:rsidRDefault="00606E96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$25 individual</w:t>
            </w:r>
          </w:p>
          <w:p w14:paraId="7844C929" w14:textId="198A1C4A" w:rsidR="00606E96" w:rsidRPr="00787451" w:rsidRDefault="00606E96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$75 family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5FFD5335" w14:textId="77777777" w:rsidR="0056296C" w:rsidRPr="00787451" w:rsidRDefault="00606E96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$25 individual</w:t>
            </w:r>
          </w:p>
          <w:p w14:paraId="01E61412" w14:textId="737C7C07" w:rsidR="00606E96" w:rsidRPr="00787451" w:rsidRDefault="00606E96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$75 family</w:t>
            </w:r>
          </w:p>
        </w:tc>
      </w:tr>
      <w:tr w:rsidR="00606E96" w:rsidRPr="00787451" w14:paraId="073CC1A2" w14:textId="77777777" w:rsidTr="005967D4">
        <w:trPr>
          <w:jc w:val="center"/>
        </w:trPr>
        <w:tc>
          <w:tcPr>
            <w:tcW w:w="2337" w:type="dxa"/>
            <w:shd w:val="clear" w:color="auto" w:fill="FFFFFF" w:themeFill="background1"/>
            <w:vAlign w:val="center"/>
          </w:tcPr>
          <w:p w14:paraId="44483FFF" w14:textId="6C24D849" w:rsidR="00606E96" w:rsidRPr="00787451" w:rsidRDefault="00606E96" w:rsidP="00EE147D">
            <w:pPr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Annual Benefit Max</w:t>
            </w:r>
          </w:p>
        </w:tc>
        <w:tc>
          <w:tcPr>
            <w:tcW w:w="2337" w:type="dxa"/>
            <w:shd w:val="clear" w:color="auto" w:fill="FFFFFF" w:themeFill="background1"/>
            <w:vAlign w:val="center"/>
          </w:tcPr>
          <w:p w14:paraId="22CBEF48" w14:textId="6CDB3AFF" w:rsidR="00606E96" w:rsidRPr="00787451" w:rsidRDefault="00606E96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N/A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4A7683D" w14:textId="688E147E" w:rsidR="00606E96" w:rsidRPr="00787451" w:rsidRDefault="00606E96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$2,000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5569FCA" w14:textId="19270B28" w:rsidR="00606E96" w:rsidRPr="00787451" w:rsidRDefault="00606E96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$5,000</w:t>
            </w:r>
          </w:p>
        </w:tc>
      </w:tr>
    </w:tbl>
    <w:p w14:paraId="3DC932B8" w14:textId="77777777" w:rsidR="00593062" w:rsidRPr="00787451" w:rsidRDefault="00593062" w:rsidP="006E5F69">
      <w:pPr>
        <w:spacing w:after="0"/>
        <w:rPr>
          <w:rFonts w:ascii="Calibri" w:hAnsi="Calibri" w:cs="Calibri"/>
          <w:b/>
          <w:bCs/>
          <w:color w:val="E97132" w:themeColor="accent2"/>
          <w:sz w:val="18"/>
          <w:szCs w:val="18"/>
        </w:rPr>
      </w:pPr>
    </w:p>
    <w:p w14:paraId="609AAF24" w14:textId="0693D29E" w:rsidR="00606E96" w:rsidRDefault="00606E96" w:rsidP="005967D4">
      <w:pPr>
        <w:spacing w:after="0"/>
        <w:rPr>
          <w:rFonts w:ascii="Calibri" w:hAnsi="Calibri" w:cs="Calibri"/>
          <w:b/>
          <w:bCs/>
          <w:color w:val="0070C0"/>
        </w:rPr>
      </w:pPr>
      <w:r w:rsidRPr="00787451">
        <w:rPr>
          <w:rFonts w:ascii="Calibri" w:hAnsi="Calibri" w:cs="Calibri"/>
          <w:b/>
          <w:bCs/>
          <w:color w:val="0070C0"/>
        </w:rPr>
        <w:t>Vision ∙ EyeMed</w:t>
      </w:r>
    </w:p>
    <w:p w14:paraId="47AF5D1E" w14:textId="77777777" w:rsidR="00787451" w:rsidRPr="00787451" w:rsidRDefault="00787451" w:rsidP="005967D4">
      <w:pPr>
        <w:spacing w:after="0"/>
        <w:rPr>
          <w:rFonts w:ascii="Calibri" w:hAnsi="Calibri" w:cs="Calibri"/>
          <w:b/>
          <w:bCs/>
          <w:color w:val="0070C0"/>
          <w:sz w:val="18"/>
          <w:szCs w:val="18"/>
        </w:rPr>
      </w:pP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337"/>
        <w:gridCol w:w="3509"/>
        <w:gridCol w:w="3509"/>
      </w:tblGrid>
      <w:tr w:rsidR="00E45D52" w:rsidRPr="00787451" w14:paraId="22A632CD" w14:textId="77777777" w:rsidTr="005967D4">
        <w:trPr>
          <w:jc w:val="center"/>
        </w:trPr>
        <w:tc>
          <w:tcPr>
            <w:tcW w:w="2337" w:type="dxa"/>
            <w:shd w:val="clear" w:color="auto" w:fill="0070C0"/>
          </w:tcPr>
          <w:p w14:paraId="15F05379" w14:textId="77777777" w:rsidR="00E45D52" w:rsidRPr="00787451" w:rsidRDefault="00E45D52" w:rsidP="006355D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3509" w:type="dxa"/>
            <w:shd w:val="clear" w:color="auto" w:fill="0070C0"/>
            <w:vAlign w:val="center"/>
          </w:tcPr>
          <w:p w14:paraId="3FBF02BA" w14:textId="2A3A62EE" w:rsidR="00E45D52" w:rsidRPr="00787451" w:rsidRDefault="00521E4F" w:rsidP="00EE147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87451">
              <w:rPr>
                <w:rFonts w:ascii="Calibri" w:hAnsi="Calibri" w:cs="Calibri"/>
                <w:b/>
                <w:bCs/>
                <w:color w:val="FFFFFF" w:themeColor="background1"/>
              </w:rPr>
              <w:t>Base</w:t>
            </w:r>
          </w:p>
        </w:tc>
        <w:tc>
          <w:tcPr>
            <w:tcW w:w="3509" w:type="dxa"/>
            <w:shd w:val="clear" w:color="auto" w:fill="0070C0"/>
            <w:vAlign w:val="center"/>
          </w:tcPr>
          <w:p w14:paraId="1DD87523" w14:textId="2E9B0380" w:rsidR="00E45D52" w:rsidRPr="00787451" w:rsidRDefault="00E45D52" w:rsidP="00EE147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87451">
              <w:rPr>
                <w:rFonts w:ascii="Calibri" w:hAnsi="Calibri" w:cs="Calibri"/>
                <w:b/>
                <w:bCs/>
                <w:color w:val="FFFFFF" w:themeColor="background1"/>
              </w:rPr>
              <w:t>Buy-Up</w:t>
            </w:r>
          </w:p>
        </w:tc>
      </w:tr>
      <w:tr w:rsidR="00E45D52" w:rsidRPr="00787451" w14:paraId="5C379540" w14:textId="77777777" w:rsidTr="005967D4">
        <w:trPr>
          <w:jc w:val="center"/>
        </w:trPr>
        <w:tc>
          <w:tcPr>
            <w:tcW w:w="2337" w:type="dxa"/>
            <w:vAlign w:val="center"/>
          </w:tcPr>
          <w:p w14:paraId="3B99E7EE" w14:textId="77777777" w:rsidR="00E45D52" w:rsidRPr="00787451" w:rsidRDefault="00E45D52" w:rsidP="00EE147D">
            <w:pPr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Eye Exam</w:t>
            </w:r>
          </w:p>
          <w:p w14:paraId="5CF7B950" w14:textId="25D85240" w:rsidR="00521E4F" w:rsidRPr="00787451" w:rsidRDefault="00521E4F" w:rsidP="00EE147D">
            <w:pPr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(Frequency)</w:t>
            </w:r>
          </w:p>
        </w:tc>
        <w:tc>
          <w:tcPr>
            <w:tcW w:w="3509" w:type="dxa"/>
            <w:vAlign w:val="center"/>
          </w:tcPr>
          <w:p w14:paraId="6F6F2FF7" w14:textId="77777777" w:rsidR="00E45D52" w:rsidRPr="00787451" w:rsidRDefault="008B5790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$10 copay</w:t>
            </w:r>
          </w:p>
          <w:p w14:paraId="268D1FE9" w14:textId="1E963395" w:rsidR="00521E4F" w:rsidRPr="00787451" w:rsidRDefault="00521E4F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12 months</w:t>
            </w:r>
          </w:p>
        </w:tc>
        <w:tc>
          <w:tcPr>
            <w:tcW w:w="3509" w:type="dxa"/>
            <w:vAlign w:val="center"/>
          </w:tcPr>
          <w:p w14:paraId="1E3D64D4" w14:textId="77777777" w:rsidR="00E45D52" w:rsidRPr="00787451" w:rsidRDefault="009C62D2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$10 copay</w:t>
            </w:r>
          </w:p>
          <w:p w14:paraId="0F0DEC10" w14:textId="47390C8F" w:rsidR="00521E4F" w:rsidRPr="00787451" w:rsidRDefault="00521E4F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12 months</w:t>
            </w:r>
          </w:p>
        </w:tc>
      </w:tr>
      <w:tr w:rsidR="00E45D52" w:rsidRPr="00787451" w14:paraId="237F4639" w14:textId="77777777" w:rsidTr="005967D4">
        <w:trPr>
          <w:jc w:val="center"/>
        </w:trPr>
        <w:tc>
          <w:tcPr>
            <w:tcW w:w="2337" w:type="dxa"/>
            <w:shd w:val="clear" w:color="auto" w:fill="DAE9F7" w:themeFill="text2" w:themeFillTint="1A"/>
            <w:vAlign w:val="center"/>
          </w:tcPr>
          <w:p w14:paraId="1D5EB633" w14:textId="77777777" w:rsidR="00E45D52" w:rsidRPr="00787451" w:rsidRDefault="00BB0DAA" w:rsidP="00EE147D">
            <w:pPr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Frames</w:t>
            </w:r>
          </w:p>
          <w:p w14:paraId="5B6596CF" w14:textId="7A8EEB17" w:rsidR="00521E4F" w:rsidRPr="00787451" w:rsidRDefault="00521E4F" w:rsidP="00EE147D">
            <w:pPr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(Frequency)</w:t>
            </w:r>
          </w:p>
        </w:tc>
        <w:tc>
          <w:tcPr>
            <w:tcW w:w="3509" w:type="dxa"/>
            <w:shd w:val="clear" w:color="auto" w:fill="DAE9F7" w:themeFill="text2" w:themeFillTint="1A"/>
            <w:vAlign w:val="center"/>
          </w:tcPr>
          <w:p w14:paraId="50A4A9AC" w14:textId="5E871672" w:rsidR="00BB0DAA" w:rsidRPr="00787451" w:rsidRDefault="0014621C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Up to $120 + 20% off</w:t>
            </w:r>
          </w:p>
          <w:p w14:paraId="635765E1" w14:textId="163AE4D4" w:rsidR="00BB0DAA" w:rsidRPr="00787451" w:rsidRDefault="00BB0DAA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24 months</w:t>
            </w:r>
          </w:p>
        </w:tc>
        <w:tc>
          <w:tcPr>
            <w:tcW w:w="3509" w:type="dxa"/>
            <w:shd w:val="clear" w:color="auto" w:fill="DAE9F7" w:themeFill="text2" w:themeFillTint="1A"/>
            <w:vAlign w:val="center"/>
          </w:tcPr>
          <w:p w14:paraId="69C2FDA9" w14:textId="6F6A5235" w:rsidR="00BB0DAA" w:rsidRPr="00787451" w:rsidRDefault="009C62D2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Up to $200 + 20% off</w:t>
            </w:r>
          </w:p>
          <w:p w14:paraId="4607CAD3" w14:textId="7E1831DD" w:rsidR="00E45D52" w:rsidRPr="00787451" w:rsidRDefault="00BB0DAA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12 months</w:t>
            </w:r>
          </w:p>
        </w:tc>
      </w:tr>
      <w:tr w:rsidR="00E45D52" w:rsidRPr="00787451" w14:paraId="7E63F8A9" w14:textId="77777777" w:rsidTr="005967D4">
        <w:trPr>
          <w:jc w:val="center"/>
        </w:trPr>
        <w:tc>
          <w:tcPr>
            <w:tcW w:w="2337" w:type="dxa"/>
            <w:shd w:val="clear" w:color="auto" w:fill="FFFFFF" w:themeFill="background1"/>
            <w:vAlign w:val="center"/>
          </w:tcPr>
          <w:p w14:paraId="1DE31134" w14:textId="77777777" w:rsidR="00E45D52" w:rsidRPr="00787451" w:rsidRDefault="00BB0DAA" w:rsidP="00EE147D">
            <w:pPr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Lenses or Contacts</w:t>
            </w:r>
          </w:p>
          <w:p w14:paraId="64B5D072" w14:textId="2B17C55E" w:rsidR="00521E4F" w:rsidRPr="00787451" w:rsidRDefault="00521E4F" w:rsidP="00EE147D">
            <w:pPr>
              <w:rPr>
                <w:rFonts w:ascii="Calibri" w:hAnsi="Calibri" w:cs="Calibri"/>
                <w:b/>
                <w:bCs/>
              </w:rPr>
            </w:pPr>
            <w:r w:rsidRPr="00787451">
              <w:rPr>
                <w:rFonts w:ascii="Calibri" w:hAnsi="Calibri" w:cs="Calibri"/>
                <w:b/>
                <w:bCs/>
              </w:rPr>
              <w:t>(Frequency)</w:t>
            </w:r>
          </w:p>
        </w:tc>
        <w:tc>
          <w:tcPr>
            <w:tcW w:w="3509" w:type="dxa"/>
            <w:shd w:val="clear" w:color="auto" w:fill="FFFFFF" w:themeFill="background1"/>
            <w:vAlign w:val="center"/>
          </w:tcPr>
          <w:p w14:paraId="1646BFAF" w14:textId="1BD5B5F4" w:rsidR="00BB0DAA" w:rsidRPr="00787451" w:rsidRDefault="0014621C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$25</w:t>
            </w:r>
            <w:r w:rsidR="009C62D2" w:rsidRPr="00787451">
              <w:rPr>
                <w:rFonts w:ascii="Calibri" w:hAnsi="Calibri" w:cs="Calibri"/>
              </w:rPr>
              <w:t xml:space="preserve"> copay</w:t>
            </w:r>
          </w:p>
          <w:p w14:paraId="2E0A9A27" w14:textId="16C5C1DB" w:rsidR="00E45D52" w:rsidRPr="00787451" w:rsidRDefault="00BB0DAA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12 months</w:t>
            </w:r>
          </w:p>
        </w:tc>
        <w:tc>
          <w:tcPr>
            <w:tcW w:w="3509" w:type="dxa"/>
            <w:shd w:val="clear" w:color="auto" w:fill="FFFFFF" w:themeFill="background1"/>
            <w:vAlign w:val="center"/>
          </w:tcPr>
          <w:p w14:paraId="6702E505" w14:textId="381623D3" w:rsidR="00BB0DAA" w:rsidRPr="00787451" w:rsidRDefault="009C62D2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$25 copay</w:t>
            </w:r>
          </w:p>
          <w:p w14:paraId="67C8A3DB" w14:textId="0BA01717" w:rsidR="00E45D52" w:rsidRPr="00787451" w:rsidRDefault="00BB0DAA" w:rsidP="00EE147D">
            <w:pPr>
              <w:jc w:val="center"/>
              <w:rPr>
                <w:rFonts w:ascii="Calibri" w:hAnsi="Calibri" w:cs="Calibri"/>
              </w:rPr>
            </w:pPr>
            <w:r w:rsidRPr="00787451">
              <w:rPr>
                <w:rFonts w:ascii="Calibri" w:hAnsi="Calibri" w:cs="Calibri"/>
              </w:rPr>
              <w:t>12 months</w:t>
            </w:r>
          </w:p>
        </w:tc>
      </w:tr>
    </w:tbl>
    <w:p w14:paraId="0F11A34E" w14:textId="70C56C53" w:rsidR="006E5F69" w:rsidRPr="00787451" w:rsidRDefault="006E5F69" w:rsidP="005967D4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37164809" w14:textId="6E2FA0B9" w:rsidR="00D26E2F" w:rsidRDefault="00D26E2F" w:rsidP="005967D4">
      <w:pPr>
        <w:spacing w:after="0"/>
        <w:rPr>
          <w:rFonts w:ascii="Calibri" w:hAnsi="Calibri" w:cs="Calibri"/>
          <w:b/>
          <w:bCs/>
          <w:color w:val="0070C0"/>
        </w:rPr>
      </w:pPr>
      <w:r w:rsidRPr="00787451">
        <w:rPr>
          <w:rFonts w:ascii="Calibri" w:hAnsi="Calibri" w:cs="Calibri"/>
          <w:b/>
          <w:bCs/>
          <w:color w:val="0070C0"/>
        </w:rPr>
        <w:t>Life and Disability ∙ UNUM</w:t>
      </w:r>
    </w:p>
    <w:p w14:paraId="45367696" w14:textId="77777777" w:rsidR="00787451" w:rsidRPr="00787451" w:rsidRDefault="00787451" w:rsidP="005967D4">
      <w:pPr>
        <w:spacing w:after="0"/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5DB2DAF4" w14:textId="12551A28" w:rsidR="00D12531" w:rsidRPr="00787451" w:rsidRDefault="00F72CEC" w:rsidP="005A673B">
      <w:pPr>
        <w:spacing w:after="0"/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>Company-</w:t>
      </w:r>
      <w:r w:rsidR="001F19E1" w:rsidRPr="00787451">
        <w:rPr>
          <w:rFonts w:ascii="Calibri" w:hAnsi="Calibri" w:cs="Calibri"/>
          <w:b/>
          <w:bCs/>
        </w:rPr>
        <w:t>paid Basic Life and AD&amp;D Insurance</w:t>
      </w:r>
      <w:r w:rsidRPr="00787451">
        <w:rPr>
          <w:rFonts w:ascii="Calibri" w:hAnsi="Calibri" w:cs="Calibri"/>
          <w:b/>
          <w:bCs/>
        </w:rPr>
        <w:t>:</w:t>
      </w:r>
      <w:r w:rsidR="001F19E1" w:rsidRPr="00787451">
        <w:rPr>
          <w:rFonts w:ascii="Calibri" w:hAnsi="Calibri" w:cs="Calibri"/>
        </w:rPr>
        <w:t xml:space="preserve"> 2x annual salary up to $1,000,000 maximum</w:t>
      </w:r>
      <w:r w:rsidR="00D26E2F" w:rsidRPr="00787451">
        <w:rPr>
          <w:rFonts w:ascii="Calibri" w:hAnsi="Calibri" w:cs="Calibri"/>
        </w:rPr>
        <w:t>.</w:t>
      </w:r>
      <w:r w:rsidR="001F19E1" w:rsidRPr="00787451">
        <w:rPr>
          <w:rFonts w:ascii="Calibri" w:hAnsi="Calibri" w:cs="Calibri"/>
        </w:rPr>
        <w:t xml:space="preserve"> </w:t>
      </w:r>
    </w:p>
    <w:p w14:paraId="4C28E010" w14:textId="7D91E28C" w:rsidR="00D12531" w:rsidRPr="00787451" w:rsidRDefault="001F19E1">
      <w:pPr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>Voluntary Life and AD&amp;D</w:t>
      </w:r>
      <w:r w:rsidR="00F72CEC" w:rsidRPr="00787451">
        <w:rPr>
          <w:rFonts w:ascii="Calibri" w:hAnsi="Calibri" w:cs="Calibri"/>
          <w:b/>
          <w:bCs/>
        </w:rPr>
        <w:t>:</w:t>
      </w:r>
      <w:r w:rsidR="00F72CEC" w:rsidRPr="00787451">
        <w:rPr>
          <w:rFonts w:ascii="Calibri" w:hAnsi="Calibri" w:cs="Calibri"/>
        </w:rPr>
        <w:t xml:space="preserve"> Employee, S</w:t>
      </w:r>
      <w:r w:rsidRPr="00787451">
        <w:rPr>
          <w:rFonts w:ascii="Calibri" w:hAnsi="Calibri" w:cs="Calibri"/>
        </w:rPr>
        <w:t xml:space="preserve">pouse, and </w:t>
      </w:r>
      <w:r w:rsidR="00F72CEC" w:rsidRPr="00787451">
        <w:rPr>
          <w:rFonts w:ascii="Calibri" w:hAnsi="Calibri" w:cs="Calibri"/>
        </w:rPr>
        <w:t>C</w:t>
      </w:r>
      <w:r w:rsidRPr="00787451">
        <w:rPr>
          <w:rFonts w:ascii="Calibri" w:hAnsi="Calibri" w:cs="Calibri"/>
        </w:rPr>
        <w:t>hild(ren</w:t>
      </w:r>
      <w:r w:rsidR="00D26E2F" w:rsidRPr="00787451">
        <w:rPr>
          <w:rFonts w:ascii="Calibri" w:hAnsi="Calibri" w:cs="Calibri"/>
        </w:rPr>
        <w:t>):</w:t>
      </w:r>
    </w:p>
    <w:p w14:paraId="2BDFDED5" w14:textId="57E4D3B7" w:rsidR="00D12531" w:rsidRPr="00787451" w:rsidRDefault="001F19E1" w:rsidP="00D1253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87451">
        <w:rPr>
          <w:rFonts w:ascii="Calibri" w:hAnsi="Calibri" w:cs="Calibri"/>
        </w:rPr>
        <w:t xml:space="preserve">1x, 2x, 3x your annual salary </w:t>
      </w:r>
      <w:r w:rsidR="00EE147D" w:rsidRPr="00787451">
        <w:rPr>
          <w:rFonts w:ascii="Calibri" w:hAnsi="Calibri" w:cs="Calibri"/>
        </w:rPr>
        <w:t xml:space="preserve">up </w:t>
      </w:r>
      <w:r w:rsidRPr="00787451">
        <w:rPr>
          <w:rFonts w:ascii="Calibri" w:hAnsi="Calibri" w:cs="Calibri"/>
        </w:rPr>
        <w:t xml:space="preserve">to a </w:t>
      </w:r>
      <w:r w:rsidR="00370DF9" w:rsidRPr="00787451">
        <w:rPr>
          <w:rFonts w:ascii="Calibri" w:hAnsi="Calibri" w:cs="Calibri"/>
        </w:rPr>
        <w:t>maximum</w:t>
      </w:r>
      <w:r w:rsidRPr="00787451">
        <w:rPr>
          <w:rFonts w:ascii="Calibri" w:hAnsi="Calibri" w:cs="Calibri"/>
        </w:rPr>
        <w:t xml:space="preserve"> of $1,000,000</w:t>
      </w:r>
    </w:p>
    <w:p w14:paraId="3F5F6A66" w14:textId="159EBDAC" w:rsidR="00D12531" w:rsidRPr="00787451" w:rsidRDefault="001F19E1" w:rsidP="00D1253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proofErr w:type="gramStart"/>
      <w:r w:rsidRPr="00787451">
        <w:rPr>
          <w:rFonts w:ascii="Calibri" w:hAnsi="Calibri" w:cs="Calibri"/>
        </w:rPr>
        <w:t>Spouse</w:t>
      </w:r>
      <w:proofErr w:type="gramEnd"/>
      <w:r w:rsidRPr="00787451">
        <w:rPr>
          <w:rFonts w:ascii="Calibri" w:hAnsi="Calibri" w:cs="Calibri"/>
        </w:rPr>
        <w:t xml:space="preserve"> benefit 100% of employee election up to a </w:t>
      </w:r>
      <w:r w:rsidR="00370DF9" w:rsidRPr="00787451">
        <w:rPr>
          <w:rFonts w:ascii="Calibri" w:hAnsi="Calibri" w:cs="Calibri"/>
        </w:rPr>
        <w:t>maximum</w:t>
      </w:r>
      <w:r w:rsidRPr="00787451">
        <w:rPr>
          <w:rFonts w:ascii="Calibri" w:hAnsi="Calibri" w:cs="Calibri"/>
        </w:rPr>
        <w:t xml:space="preserve"> of $50,000</w:t>
      </w:r>
    </w:p>
    <w:p w14:paraId="08A787C4" w14:textId="24CB7C88" w:rsidR="00D12531" w:rsidRPr="00787451" w:rsidRDefault="001F19E1" w:rsidP="00D26E2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87451">
        <w:rPr>
          <w:rFonts w:ascii="Calibri" w:hAnsi="Calibri" w:cs="Calibri"/>
        </w:rPr>
        <w:t>Child benefit of $5,00</w:t>
      </w:r>
      <w:r w:rsidR="00F72CEC" w:rsidRPr="00787451">
        <w:rPr>
          <w:rFonts w:ascii="Calibri" w:hAnsi="Calibri" w:cs="Calibri"/>
        </w:rPr>
        <w:t>0, $10,000 or $15,000 per child</w:t>
      </w:r>
    </w:p>
    <w:p w14:paraId="14490751" w14:textId="317469C4" w:rsidR="00D12531" w:rsidRPr="00787451" w:rsidRDefault="001F19E1">
      <w:pPr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>Short-Term Disability:</w:t>
      </w:r>
      <w:r w:rsidR="00F72CEC" w:rsidRPr="00787451">
        <w:rPr>
          <w:rFonts w:ascii="Calibri" w:hAnsi="Calibri" w:cs="Calibri"/>
        </w:rPr>
        <w:t xml:space="preserve"> Company-</w:t>
      </w:r>
      <w:r w:rsidRPr="00787451">
        <w:rPr>
          <w:rFonts w:ascii="Calibri" w:hAnsi="Calibri" w:cs="Calibri"/>
        </w:rPr>
        <w:t xml:space="preserve">paid benefit of 75% of weekly salary up to a max of $3,000 weekly after 7 days of disability. Benefit duration of up to 26 weeks. </w:t>
      </w:r>
    </w:p>
    <w:p w14:paraId="0F8ADAFA" w14:textId="43258889" w:rsidR="00D12531" w:rsidRPr="00787451" w:rsidRDefault="001F19E1">
      <w:pPr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>Buy-Up Short-Term Disability:</w:t>
      </w:r>
      <w:r w:rsidRPr="00787451">
        <w:rPr>
          <w:rFonts w:ascii="Calibri" w:hAnsi="Calibri" w:cs="Calibri"/>
        </w:rPr>
        <w:t xml:space="preserve"> 90% of weekly salary up to a max of $3,000 weekly after 7 days of disability. Benefit duration of up to 26 weeks. </w:t>
      </w:r>
    </w:p>
    <w:p w14:paraId="4F6B7F84" w14:textId="77777777" w:rsidR="00370DF9" w:rsidRPr="00370DF9" w:rsidRDefault="00370DF9" w:rsidP="00370DF9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58094258" w14:textId="73C45E88" w:rsidR="00D12531" w:rsidRPr="00787451" w:rsidRDefault="001F19E1">
      <w:pPr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>Long-Term Disability:</w:t>
      </w:r>
      <w:r w:rsidR="00F72CEC" w:rsidRPr="00787451">
        <w:rPr>
          <w:rFonts w:ascii="Calibri" w:hAnsi="Calibri" w:cs="Calibri"/>
        </w:rPr>
        <w:t xml:space="preserve"> Company-</w:t>
      </w:r>
      <w:r w:rsidRPr="00787451">
        <w:rPr>
          <w:rFonts w:ascii="Calibri" w:hAnsi="Calibri" w:cs="Calibri"/>
        </w:rPr>
        <w:t xml:space="preserve">paid benefit of 60% of monthly salary up to a max of $5,000 monthly after 180 days of disability. Benefit duration to Social Security Normal Retirement Age. </w:t>
      </w:r>
    </w:p>
    <w:p w14:paraId="1A3AFDF4" w14:textId="73B00EE4" w:rsidR="00D12531" w:rsidRPr="00787451" w:rsidRDefault="001F19E1" w:rsidP="005967D4">
      <w:pPr>
        <w:spacing w:after="0"/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>Buy-Up Long-Term Disability:</w:t>
      </w:r>
      <w:r w:rsidRPr="00787451">
        <w:rPr>
          <w:rFonts w:ascii="Calibri" w:hAnsi="Calibri" w:cs="Calibri"/>
        </w:rPr>
        <w:t xml:space="preserve"> 60% of monthly salary up to a max of $15,000 monthly after 180 days of disability. Benefit duration to Social Security Normal Retirement Age.</w:t>
      </w:r>
    </w:p>
    <w:p w14:paraId="2753F2E7" w14:textId="77777777" w:rsidR="005967D4" w:rsidRPr="00787451" w:rsidRDefault="005967D4" w:rsidP="005967D4">
      <w:pPr>
        <w:spacing w:after="0"/>
        <w:rPr>
          <w:rFonts w:ascii="Calibri" w:hAnsi="Calibri" w:cs="Calibri"/>
          <w:sz w:val="18"/>
          <w:szCs w:val="18"/>
        </w:rPr>
      </w:pPr>
    </w:p>
    <w:p w14:paraId="5174EA33" w14:textId="02C6E6FF" w:rsidR="007334F8" w:rsidRDefault="007334F8" w:rsidP="005967D4">
      <w:pPr>
        <w:spacing w:after="0"/>
        <w:rPr>
          <w:rFonts w:ascii="Calibri" w:hAnsi="Calibri" w:cs="Calibri"/>
          <w:b/>
          <w:bCs/>
          <w:color w:val="0070C0"/>
        </w:rPr>
      </w:pPr>
      <w:r w:rsidRPr="00787451">
        <w:rPr>
          <w:rFonts w:ascii="Calibri" w:hAnsi="Calibri" w:cs="Calibri"/>
          <w:b/>
          <w:bCs/>
          <w:color w:val="0070C0"/>
        </w:rPr>
        <w:t>Employee Assistance Program (EAP) ∙ Health Advocate</w:t>
      </w:r>
    </w:p>
    <w:p w14:paraId="4EBA5C5B" w14:textId="77777777" w:rsidR="00787451" w:rsidRPr="00787451" w:rsidRDefault="00787451" w:rsidP="005967D4">
      <w:pPr>
        <w:spacing w:after="0"/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00EA626D" w14:textId="6A8945BE" w:rsidR="00560F70" w:rsidRPr="00787451" w:rsidRDefault="00BE3C41" w:rsidP="005967D4">
      <w:pPr>
        <w:spacing w:after="0"/>
        <w:rPr>
          <w:rFonts w:ascii="Calibri" w:hAnsi="Calibri" w:cs="Calibri"/>
        </w:rPr>
      </w:pPr>
      <w:r w:rsidRPr="00787451">
        <w:rPr>
          <w:rFonts w:ascii="Calibri" w:hAnsi="Calibri" w:cs="Calibri"/>
        </w:rPr>
        <w:t>EAP</w:t>
      </w:r>
      <w:r w:rsidR="001F19E1" w:rsidRPr="00787451">
        <w:rPr>
          <w:rFonts w:ascii="Calibri" w:hAnsi="Calibri" w:cs="Calibri"/>
        </w:rPr>
        <w:t xml:space="preserve"> is a confidential service provid</w:t>
      </w:r>
      <w:r w:rsidRPr="00787451">
        <w:rPr>
          <w:rFonts w:ascii="Calibri" w:hAnsi="Calibri" w:cs="Calibri"/>
        </w:rPr>
        <w:t>ing</w:t>
      </w:r>
      <w:r w:rsidR="001F19E1" w:rsidRPr="00787451">
        <w:rPr>
          <w:rFonts w:ascii="Calibri" w:hAnsi="Calibri" w:cs="Calibri"/>
        </w:rPr>
        <w:t xml:space="preserve"> professional counseling and referral services designed to help you with personal, job</w:t>
      </w:r>
      <w:r w:rsidR="00F72CEC" w:rsidRPr="00787451">
        <w:rPr>
          <w:rFonts w:ascii="Calibri" w:hAnsi="Calibri" w:cs="Calibri"/>
        </w:rPr>
        <w:t>,</w:t>
      </w:r>
      <w:r w:rsidR="001F19E1" w:rsidRPr="00787451">
        <w:rPr>
          <w:rFonts w:ascii="Calibri" w:hAnsi="Calibri" w:cs="Calibri"/>
        </w:rPr>
        <w:t xml:space="preserve"> or family </w:t>
      </w:r>
      <w:r w:rsidRPr="00787451">
        <w:rPr>
          <w:rFonts w:ascii="Calibri" w:hAnsi="Calibri" w:cs="Calibri"/>
        </w:rPr>
        <w:t>matters</w:t>
      </w:r>
      <w:r w:rsidR="001F19E1" w:rsidRPr="00787451">
        <w:rPr>
          <w:rFonts w:ascii="Calibri" w:hAnsi="Calibri" w:cs="Calibri"/>
        </w:rPr>
        <w:t>.</w:t>
      </w:r>
      <w:r w:rsidR="00F72CEC" w:rsidRPr="00787451">
        <w:rPr>
          <w:rFonts w:ascii="Calibri" w:hAnsi="Calibri" w:cs="Calibri"/>
        </w:rPr>
        <w:t xml:space="preserve"> </w:t>
      </w:r>
      <w:r w:rsidR="001F19E1" w:rsidRPr="00787451">
        <w:rPr>
          <w:rFonts w:ascii="Calibri" w:hAnsi="Calibri" w:cs="Calibri"/>
        </w:rPr>
        <w:t xml:space="preserve"> Unlimited access 24/7 by phone to EAP professionals </w:t>
      </w:r>
      <w:r w:rsidRPr="00787451">
        <w:rPr>
          <w:rFonts w:ascii="Calibri" w:hAnsi="Calibri" w:cs="Calibri"/>
        </w:rPr>
        <w:t>who</w:t>
      </w:r>
      <w:r w:rsidR="001F19E1" w:rsidRPr="00787451">
        <w:rPr>
          <w:rFonts w:ascii="Calibri" w:hAnsi="Calibri" w:cs="Calibri"/>
        </w:rPr>
        <w:t xml:space="preserve"> can help address </w:t>
      </w:r>
      <w:r w:rsidRPr="00787451">
        <w:rPr>
          <w:rFonts w:ascii="Calibri" w:hAnsi="Calibri" w:cs="Calibri"/>
        </w:rPr>
        <w:t>your</w:t>
      </w:r>
      <w:r w:rsidR="001F19E1" w:rsidRPr="00787451">
        <w:rPr>
          <w:rFonts w:ascii="Calibri" w:hAnsi="Calibri" w:cs="Calibri"/>
        </w:rPr>
        <w:t xml:space="preserve"> issues.</w:t>
      </w:r>
      <w:r w:rsidR="00F72CEC" w:rsidRPr="00787451">
        <w:rPr>
          <w:rFonts w:ascii="Calibri" w:hAnsi="Calibri" w:cs="Calibri"/>
        </w:rPr>
        <w:t xml:space="preserve"> </w:t>
      </w:r>
      <w:r w:rsidR="001F19E1" w:rsidRPr="00787451">
        <w:rPr>
          <w:rFonts w:ascii="Calibri" w:hAnsi="Calibri" w:cs="Calibri"/>
        </w:rPr>
        <w:t xml:space="preserve"> The EAP benefits are available for employees and eligible dependents.</w:t>
      </w:r>
      <w:r w:rsidR="00F72CEC" w:rsidRPr="00787451">
        <w:rPr>
          <w:rFonts w:ascii="Calibri" w:hAnsi="Calibri" w:cs="Calibri"/>
        </w:rPr>
        <w:t xml:space="preserve"> </w:t>
      </w:r>
      <w:r w:rsidR="001F19E1" w:rsidRPr="00787451">
        <w:rPr>
          <w:rFonts w:ascii="Calibri" w:hAnsi="Calibri" w:cs="Calibri"/>
        </w:rPr>
        <w:t xml:space="preserve"> Any services provided are </w:t>
      </w:r>
      <w:r w:rsidR="00F72CEC" w:rsidRPr="00787451">
        <w:rPr>
          <w:rFonts w:ascii="Calibri" w:hAnsi="Calibri" w:cs="Calibri"/>
        </w:rPr>
        <w:t xml:space="preserve">offered </w:t>
      </w:r>
      <w:r w:rsidR="001F19E1" w:rsidRPr="00787451">
        <w:rPr>
          <w:rFonts w:ascii="Calibri" w:hAnsi="Calibri" w:cs="Calibri"/>
        </w:rPr>
        <w:t>at no charge to you.</w:t>
      </w:r>
    </w:p>
    <w:p w14:paraId="14B2FFD9" w14:textId="77777777" w:rsidR="005967D4" w:rsidRPr="00787451" w:rsidRDefault="005967D4" w:rsidP="005967D4">
      <w:pPr>
        <w:spacing w:after="0"/>
        <w:rPr>
          <w:rFonts w:ascii="Calibri" w:hAnsi="Calibri" w:cs="Calibri"/>
          <w:sz w:val="18"/>
          <w:szCs w:val="18"/>
        </w:rPr>
      </w:pPr>
    </w:p>
    <w:p w14:paraId="39CD98EB" w14:textId="77F011F4" w:rsidR="00560F70" w:rsidRDefault="00560F70" w:rsidP="005967D4">
      <w:pPr>
        <w:spacing w:after="0"/>
        <w:rPr>
          <w:rFonts w:ascii="Calibri" w:hAnsi="Calibri" w:cs="Calibri"/>
          <w:b/>
          <w:bCs/>
          <w:color w:val="0070C0"/>
        </w:rPr>
      </w:pPr>
      <w:r w:rsidRPr="00787451">
        <w:rPr>
          <w:rFonts w:ascii="Calibri" w:hAnsi="Calibri" w:cs="Calibri"/>
          <w:b/>
          <w:bCs/>
          <w:color w:val="0070C0"/>
        </w:rPr>
        <w:t>Flexible Spending Accounts (FSA) ∙ Marsh McLennan</w:t>
      </w:r>
    </w:p>
    <w:p w14:paraId="6FBBEB76" w14:textId="77777777" w:rsidR="00787451" w:rsidRPr="00787451" w:rsidRDefault="00787451" w:rsidP="005967D4">
      <w:pPr>
        <w:spacing w:after="0"/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6890C351" w14:textId="6ECE068C" w:rsidR="00560F70" w:rsidRPr="00787451" w:rsidRDefault="00F72CEC" w:rsidP="00560F7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87451">
        <w:rPr>
          <w:rFonts w:ascii="Calibri" w:hAnsi="Calibri" w:cs="Calibri"/>
        </w:rPr>
        <w:t>Health</w:t>
      </w:r>
      <w:r w:rsidR="006E5F69" w:rsidRPr="00787451">
        <w:rPr>
          <w:rFonts w:ascii="Calibri" w:hAnsi="Calibri" w:cs="Calibri"/>
        </w:rPr>
        <w:t>c</w:t>
      </w:r>
      <w:r w:rsidRPr="00787451">
        <w:rPr>
          <w:rFonts w:ascii="Calibri" w:hAnsi="Calibri" w:cs="Calibri"/>
        </w:rPr>
        <w:t>are: $3,</w:t>
      </w:r>
      <w:r w:rsidR="006E5F69" w:rsidRPr="00787451">
        <w:rPr>
          <w:rFonts w:ascii="Calibri" w:hAnsi="Calibri" w:cs="Calibri"/>
        </w:rPr>
        <w:t>4</w:t>
      </w:r>
      <w:r w:rsidR="00560F70" w:rsidRPr="00787451">
        <w:rPr>
          <w:rFonts w:ascii="Calibri" w:hAnsi="Calibri" w:cs="Calibri"/>
        </w:rPr>
        <w:t xml:space="preserve">00 annual maximum </w:t>
      </w:r>
    </w:p>
    <w:p w14:paraId="2D468B8E" w14:textId="55075E21" w:rsidR="00F72CEC" w:rsidRPr="00787451" w:rsidRDefault="00F72CEC" w:rsidP="00560F7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87451">
        <w:rPr>
          <w:rFonts w:ascii="Calibri" w:hAnsi="Calibri" w:cs="Calibri"/>
        </w:rPr>
        <w:t>Health</w:t>
      </w:r>
      <w:r w:rsidR="006E5F69" w:rsidRPr="00787451">
        <w:rPr>
          <w:rFonts w:ascii="Calibri" w:hAnsi="Calibri" w:cs="Calibri"/>
        </w:rPr>
        <w:t>c</w:t>
      </w:r>
      <w:r w:rsidRPr="00787451">
        <w:rPr>
          <w:rFonts w:ascii="Calibri" w:hAnsi="Calibri" w:cs="Calibri"/>
        </w:rPr>
        <w:t>are: $6</w:t>
      </w:r>
      <w:r w:rsidR="006E5F69" w:rsidRPr="00787451">
        <w:rPr>
          <w:rFonts w:ascii="Calibri" w:hAnsi="Calibri" w:cs="Calibri"/>
        </w:rPr>
        <w:t>8</w:t>
      </w:r>
      <w:r w:rsidRPr="00787451">
        <w:rPr>
          <w:rFonts w:ascii="Calibri" w:hAnsi="Calibri" w:cs="Calibri"/>
        </w:rPr>
        <w:t>0 maximum rollover</w:t>
      </w:r>
    </w:p>
    <w:p w14:paraId="14A1FC5B" w14:textId="57CCF9CE" w:rsidR="00560F70" w:rsidRPr="00787451" w:rsidRDefault="00560F70" w:rsidP="006E5F69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787451">
        <w:rPr>
          <w:rFonts w:ascii="Calibri" w:hAnsi="Calibri" w:cs="Calibri"/>
        </w:rPr>
        <w:t>Depend</w:t>
      </w:r>
      <w:r w:rsidR="006718DA" w:rsidRPr="00787451">
        <w:rPr>
          <w:rFonts w:ascii="Calibri" w:hAnsi="Calibri" w:cs="Calibri"/>
        </w:rPr>
        <w:t>ent Care: $</w:t>
      </w:r>
      <w:r w:rsidR="006E5F69" w:rsidRPr="00787451">
        <w:rPr>
          <w:rFonts w:ascii="Calibri" w:hAnsi="Calibri" w:cs="Calibri"/>
        </w:rPr>
        <w:t>7</w:t>
      </w:r>
      <w:r w:rsidR="006718DA" w:rsidRPr="00787451">
        <w:rPr>
          <w:rFonts w:ascii="Calibri" w:hAnsi="Calibri" w:cs="Calibri"/>
        </w:rPr>
        <w:t>,</w:t>
      </w:r>
      <w:r w:rsidR="006E5F69" w:rsidRPr="00787451">
        <w:rPr>
          <w:rFonts w:ascii="Calibri" w:hAnsi="Calibri" w:cs="Calibri"/>
        </w:rPr>
        <w:t>5</w:t>
      </w:r>
      <w:r w:rsidR="006718DA" w:rsidRPr="00787451">
        <w:rPr>
          <w:rFonts w:ascii="Calibri" w:hAnsi="Calibri" w:cs="Calibri"/>
        </w:rPr>
        <w:t>00 annual maximum</w:t>
      </w:r>
    </w:p>
    <w:p w14:paraId="30CF0265" w14:textId="77777777" w:rsidR="006718DA" w:rsidRPr="00787451" w:rsidRDefault="006718DA" w:rsidP="006E5F69">
      <w:pPr>
        <w:spacing w:after="0"/>
        <w:rPr>
          <w:rFonts w:ascii="Calibri" w:hAnsi="Calibri" w:cs="Calibri"/>
          <w:b/>
          <w:bCs/>
          <w:color w:val="E97132" w:themeColor="accent2"/>
          <w:sz w:val="18"/>
          <w:szCs w:val="18"/>
        </w:rPr>
      </w:pPr>
    </w:p>
    <w:p w14:paraId="43393E98" w14:textId="191E0C6A" w:rsidR="007334F8" w:rsidRDefault="007334F8" w:rsidP="005967D4">
      <w:pPr>
        <w:spacing w:after="0"/>
        <w:rPr>
          <w:rFonts w:ascii="Calibri" w:hAnsi="Calibri" w:cs="Calibri"/>
          <w:b/>
          <w:bCs/>
          <w:color w:val="0070C0"/>
        </w:rPr>
      </w:pPr>
      <w:r w:rsidRPr="00787451">
        <w:rPr>
          <w:rFonts w:ascii="Calibri" w:hAnsi="Calibri" w:cs="Calibri"/>
          <w:b/>
          <w:bCs/>
          <w:color w:val="0070C0"/>
        </w:rPr>
        <w:t>Retirement Plan ∙ Fidelity</w:t>
      </w:r>
    </w:p>
    <w:p w14:paraId="4D0BF360" w14:textId="77777777" w:rsidR="00787451" w:rsidRPr="00787451" w:rsidRDefault="00787451" w:rsidP="005967D4">
      <w:pPr>
        <w:spacing w:after="0"/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3AC30250" w14:textId="229F05B1" w:rsidR="007334F8" w:rsidRPr="00787451" w:rsidRDefault="007334F8" w:rsidP="005967D4">
      <w:pPr>
        <w:spacing w:after="0"/>
        <w:rPr>
          <w:rFonts w:ascii="Calibri" w:hAnsi="Calibri" w:cs="Calibri"/>
        </w:rPr>
      </w:pPr>
      <w:r w:rsidRPr="00787451">
        <w:rPr>
          <w:rFonts w:ascii="Calibri" w:hAnsi="Calibri" w:cs="Calibri"/>
        </w:rPr>
        <w:t xml:space="preserve">We partner with Fidelity to provide a robust 401(k) option for you. Having a good financial retirement plan eliminates stress and allows you to accomplish these goals. </w:t>
      </w:r>
      <w:r w:rsidR="006718DA" w:rsidRPr="00787451">
        <w:rPr>
          <w:rFonts w:ascii="Calibri" w:hAnsi="Calibri" w:cs="Calibri"/>
        </w:rPr>
        <w:t>Your contribution limit is $2</w:t>
      </w:r>
      <w:r w:rsidR="006E5F69" w:rsidRPr="00787451">
        <w:rPr>
          <w:rFonts w:ascii="Calibri" w:hAnsi="Calibri" w:cs="Calibri"/>
        </w:rPr>
        <w:t>4</w:t>
      </w:r>
      <w:r w:rsidR="006718DA" w:rsidRPr="00787451">
        <w:rPr>
          <w:rFonts w:ascii="Calibri" w:hAnsi="Calibri" w:cs="Calibri"/>
        </w:rPr>
        <w:t>,500 or $3</w:t>
      </w:r>
      <w:r w:rsidR="006E5F69" w:rsidRPr="00787451">
        <w:rPr>
          <w:rFonts w:ascii="Calibri" w:hAnsi="Calibri" w:cs="Calibri"/>
        </w:rPr>
        <w:t>2</w:t>
      </w:r>
      <w:r w:rsidR="006718DA" w:rsidRPr="00787451">
        <w:rPr>
          <w:rFonts w:ascii="Calibri" w:hAnsi="Calibri" w:cs="Calibri"/>
        </w:rPr>
        <w:t>,</w:t>
      </w:r>
      <w:r w:rsidR="006E5F69" w:rsidRPr="00787451">
        <w:rPr>
          <w:rFonts w:ascii="Calibri" w:hAnsi="Calibri" w:cs="Calibri"/>
        </w:rPr>
        <w:t>5</w:t>
      </w:r>
      <w:r w:rsidRPr="00787451">
        <w:rPr>
          <w:rFonts w:ascii="Calibri" w:hAnsi="Calibri" w:cs="Calibri"/>
        </w:rPr>
        <w:t>00</w:t>
      </w:r>
      <w:r w:rsidR="006718DA" w:rsidRPr="00787451">
        <w:rPr>
          <w:rFonts w:ascii="Calibri" w:hAnsi="Calibri" w:cs="Calibri"/>
        </w:rPr>
        <w:t xml:space="preserve"> if you are age 50 by 12/31/202</w:t>
      </w:r>
      <w:r w:rsidR="006E5F69" w:rsidRPr="00787451">
        <w:rPr>
          <w:rFonts w:ascii="Calibri" w:hAnsi="Calibri" w:cs="Calibri"/>
        </w:rPr>
        <w:t>6</w:t>
      </w:r>
      <w:r w:rsidR="006718DA" w:rsidRPr="00787451">
        <w:rPr>
          <w:rFonts w:ascii="Calibri" w:hAnsi="Calibri" w:cs="Calibri"/>
        </w:rPr>
        <w:t>.</w:t>
      </w:r>
    </w:p>
    <w:p w14:paraId="1EB7ED7D" w14:textId="77777777" w:rsidR="005967D4" w:rsidRPr="00787451" w:rsidRDefault="005967D4" w:rsidP="005967D4">
      <w:pPr>
        <w:spacing w:after="0"/>
        <w:rPr>
          <w:rFonts w:ascii="Calibri" w:hAnsi="Calibri" w:cs="Calibri"/>
          <w:sz w:val="18"/>
          <w:szCs w:val="18"/>
        </w:rPr>
      </w:pPr>
    </w:p>
    <w:p w14:paraId="38D9279A" w14:textId="3F0ACC3F" w:rsidR="00692A24" w:rsidRDefault="002A1AA6" w:rsidP="005967D4">
      <w:pPr>
        <w:spacing w:after="0"/>
        <w:rPr>
          <w:rFonts w:ascii="Calibri" w:hAnsi="Calibri" w:cs="Calibri"/>
          <w:b/>
          <w:bCs/>
          <w:color w:val="0070C0"/>
        </w:rPr>
      </w:pPr>
      <w:r w:rsidRPr="00787451">
        <w:rPr>
          <w:rFonts w:ascii="Calibri" w:hAnsi="Calibri" w:cs="Calibri"/>
          <w:b/>
          <w:bCs/>
          <w:color w:val="0070C0"/>
        </w:rPr>
        <w:t xml:space="preserve">Other </w:t>
      </w:r>
      <w:r w:rsidR="005967D4" w:rsidRPr="00787451">
        <w:rPr>
          <w:rFonts w:ascii="Calibri" w:hAnsi="Calibri" w:cs="Calibri"/>
          <w:b/>
          <w:bCs/>
          <w:color w:val="0070C0"/>
        </w:rPr>
        <w:t xml:space="preserve">Voluntary </w:t>
      </w:r>
      <w:r w:rsidRPr="00787451">
        <w:rPr>
          <w:rFonts w:ascii="Calibri" w:hAnsi="Calibri" w:cs="Calibri"/>
          <w:b/>
          <w:bCs/>
          <w:color w:val="0070C0"/>
        </w:rPr>
        <w:t>Benefits</w:t>
      </w:r>
    </w:p>
    <w:p w14:paraId="1CCC3482" w14:textId="77777777" w:rsidR="00787451" w:rsidRPr="00787451" w:rsidRDefault="00787451" w:rsidP="005967D4">
      <w:pPr>
        <w:spacing w:after="0"/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7DD102E7" w14:textId="6F844605" w:rsidR="00692A24" w:rsidRPr="00787451" w:rsidRDefault="00692A24" w:rsidP="00692A24">
      <w:pPr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 xml:space="preserve">Critical Illness </w:t>
      </w:r>
      <w:r w:rsidRPr="00787451">
        <w:rPr>
          <w:rFonts w:ascii="Calibri" w:hAnsi="Calibri" w:cs="Calibri"/>
        </w:rPr>
        <w:t xml:space="preserve">– </w:t>
      </w:r>
      <w:r w:rsidR="006718DA" w:rsidRPr="00787451">
        <w:rPr>
          <w:rFonts w:ascii="Calibri" w:hAnsi="Calibri" w:cs="Calibri"/>
        </w:rPr>
        <w:t xml:space="preserve">Through </w:t>
      </w:r>
      <w:r w:rsidRPr="00787451">
        <w:rPr>
          <w:rFonts w:ascii="Calibri" w:hAnsi="Calibri" w:cs="Calibri"/>
        </w:rPr>
        <w:t>UNUM</w:t>
      </w:r>
      <w:r w:rsidR="006718DA" w:rsidRPr="00787451">
        <w:rPr>
          <w:rFonts w:ascii="Calibri" w:hAnsi="Calibri" w:cs="Calibri"/>
        </w:rPr>
        <w:t xml:space="preserve">, </w:t>
      </w:r>
      <w:r w:rsidRPr="00787451">
        <w:rPr>
          <w:rFonts w:ascii="Calibri" w:hAnsi="Calibri" w:cs="Calibri"/>
        </w:rPr>
        <w:t xml:space="preserve">illnesses like heart attack, stroke, Alzheimer’s disease, and cancer are among those covered. </w:t>
      </w:r>
      <w:r w:rsidR="006718DA" w:rsidRPr="00787451">
        <w:rPr>
          <w:rFonts w:ascii="Calibri" w:hAnsi="Calibri" w:cs="Calibri"/>
        </w:rPr>
        <w:t xml:space="preserve"> </w:t>
      </w:r>
      <w:r w:rsidRPr="00787451">
        <w:rPr>
          <w:rFonts w:ascii="Calibri" w:hAnsi="Calibri" w:cs="Calibri"/>
        </w:rPr>
        <w:t>Rates will vary, based on age, smoker status</w:t>
      </w:r>
      <w:r w:rsidR="006718DA" w:rsidRPr="00787451">
        <w:rPr>
          <w:rFonts w:ascii="Calibri" w:hAnsi="Calibri" w:cs="Calibri"/>
        </w:rPr>
        <w:t>,</w:t>
      </w:r>
      <w:r w:rsidRPr="00787451">
        <w:rPr>
          <w:rFonts w:ascii="Calibri" w:hAnsi="Calibri" w:cs="Calibri"/>
        </w:rPr>
        <w:t xml:space="preserve"> and family size.</w:t>
      </w:r>
    </w:p>
    <w:p w14:paraId="56694E74" w14:textId="407F2F98" w:rsidR="00692A24" w:rsidRPr="00787451" w:rsidRDefault="00692A24" w:rsidP="00692A24">
      <w:pPr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 xml:space="preserve">Accident </w:t>
      </w:r>
      <w:r w:rsidRPr="00787451">
        <w:rPr>
          <w:rFonts w:ascii="Calibri" w:hAnsi="Calibri" w:cs="Calibri"/>
        </w:rPr>
        <w:t xml:space="preserve">– </w:t>
      </w:r>
      <w:r w:rsidR="006718DA" w:rsidRPr="00787451">
        <w:rPr>
          <w:rFonts w:ascii="Calibri" w:hAnsi="Calibri" w:cs="Calibri"/>
        </w:rPr>
        <w:t>T</w:t>
      </w:r>
      <w:r w:rsidRPr="00787451">
        <w:rPr>
          <w:rFonts w:ascii="Calibri" w:hAnsi="Calibri" w:cs="Calibri"/>
        </w:rPr>
        <w:t>hrough UNUM, a comprehensive plan which pays based on the injury or treatment receive</w:t>
      </w:r>
      <w:r w:rsidR="00EE147D" w:rsidRPr="00787451">
        <w:rPr>
          <w:rFonts w:ascii="Calibri" w:hAnsi="Calibri" w:cs="Calibri"/>
        </w:rPr>
        <w:t>d</w:t>
      </w:r>
      <w:r w:rsidRPr="00787451">
        <w:rPr>
          <w:rFonts w:ascii="Calibri" w:hAnsi="Calibri" w:cs="Calibri"/>
        </w:rPr>
        <w:t xml:space="preserve">, </w:t>
      </w:r>
      <w:r w:rsidR="006718DA" w:rsidRPr="00787451">
        <w:rPr>
          <w:rFonts w:ascii="Calibri" w:hAnsi="Calibri" w:cs="Calibri"/>
        </w:rPr>
        <w:t>from</w:t>
      </w:r>
      <w:r w:rsidRPr="00787451">
        <w:rPr>
          <w:rFonts w:ascii="Calibri" w:hAnsi="Calibri" w:cs="Calibri"/>
        </w:rPr>
        <w:t xml:space="preserve"> a simple sprain </w:t>
      </w:r>
      <w:r w:rsidR="006718DA" w:rsidRPr="00787451">
        <w:rPr>
          <w:rFonts w:ascii="Calibri" w:hAnsi="Calibri" w:cs="Calibri"/>
        </w:rPr>
        <w:t xml:space="preserve">to </w:t>
      </w:r>
      <w:r w:rsidRPr="00787451">
        <w:rPr>
          <w:rFonts w:ascii="Calibri" w:hAnsi="Calibri" w:cs="Calibri"/>
        </w:rPr>
        <w:t>more serious</w:t>
      </w:r>
      <w:r w:rsidR="006718DA" w:rsidRPr="00787451">
        <w:rPr>
          <w:rFonts w:ascii="Calibri" w:hAnsi="Calibri" w:cs="Calibri"/>
        </w:rPr>
        <w:t xml:space="preserve"> accidents </w:t>
      </w:r>
      <w:r w:rsidRPr="00787451">
        <w:rPr>
          <w:rFonts w:ascii="Calibri" w:hAnsi="Calibri" w:cs="Calibri"/>
        </w:rPr>
        <w:t>like an</w:t>
      </w:r>
      <w:r w:rsidR="006718DA" w:rsidRPr="00787451">
        <w:rPr>
          <w:rFonts w:ascii="Calibri" w:hAnsi="Calibri" w:cs="Calibri"/>
        </w:rPr>
        <w:t xml:space="preserve"> </w:t>
      </w:r>
      <w:r w:rsidRPr="00787451">
        <w:rPr>
          <w:rFonts w:ascii="Calibri" w:hAnsi="Calibri" w:cs="Calibri"/>
        </w:rPr>
        <w:t xml:space="preserve">injury from a car accident. </w:t>
      </w:r>
      <w:r w:rsidR="006718DA" w:rsidRPr="00787451">
        <w:rPr>
          <w:rFonts w:ascii="Calibri" w:hAnsi="Calibri" w:cs="Calibri"/>
        </w:rPr>
        <w:t xml:space="preserve"> </w:t>
      </w:r>
      <w:r w:rsidRPr="00787451">
        <w:rPr>
          <w:rFonts w:ascii="Calibri" w:hAnsi="Calibri" w:cs="Calibri"/>
        </w:rPr>
        <w:t xml:space="preserve">The plan pays you and/or your dependents </w:t>
      </w:r>
      <w:proofErr w:type="gramStart"/>
      <w:r w:rsidRPr="00787451">
        <w:rPr>
          <w:rFonts w:ascii="Calibri" w:hAnsi="Calibri" w:cs="Calibri"/>
        </w:rPr>
        <w:t>a benefit</w:t>
      </w:r>
      <w:proofErr w:type="gramEnd"/>
      <w:r w:rsidRPr="00787451">
        <w:rPr>
          <w:rFonts w:ascii="Calibri" w:hAnsi="Calibri" w:cs="Calibri"/>
        </w:rPr>
        <w:t xml:space="preserve"> for </w:t>
      </w:r>
      <w:proofErr w:type="gramStart"/>
      <w:r w:rsidRPr="00787451">
        <w:rPr>
          <w:rFonts w:ascii="Calibri" w:hAnsi="Calibri" w:cs="Calibri"/>
        </w:rPr>
        <w:t>an emergency</w:t>
      </w:r>
      <w:proofErr w:type="gramEnd"/>
      <w:r w:rsidRPr="00787451">
        <w:rPr>
          <w:rFonts w:ascii="Calibri" w:hAnsi="Calibri" w:cs="Calibri"/>
        </w:rPr>
        <w:t xml:space="preserve"> room treatment, crutches, injury- related surgery</w:t>
      </w:r>
      <w:r w:rsidR="006718DA" w:rsidRPr="00787451">
        <w:rPr>
          <w:rFonts w:ascii="Calibri" w:hAnsi="Calibri" w:cs="Calibri"/>
        </w:rPr>
        <w:t>,</w:t>
      </w:r>
      <w:r w:rsidRPr="00787451">
        <w:rPr>
          <w:rFonts w:ascii="Calibri" w:hAnsi="Calibri" w:cs="Calibri"/>
        </w:rPr>
        <w:t xml:space="preserve"> and certain other accident-related expenses. </w:t>
      </w:r>
    </w:p>
    <w:p w14:paraId="10B0FD3F" w14:textId="184E5EA3" w:rsidR="002A1AA6" w:rsidRPr="00787451" w:rsidRDefault="002A1AA6" w:rsidP="002A1AA6">
      <w:pPr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 xml:space="preserve">Legal Insurance </w:t>
      </w:r>
      <w:r w:rsidRPr="00787451">
        <w:rPr>
          <w:rFonts w:ascii="Calibri" w:hAnsi="Calibri" w:cs="Calibri"/>
        </w:rPr>
        <w:t xml:space="preserve">– </w:t>
      </w:r>
      <w:r w:rsidR="006718DA" w:rsidRPr="00787451">
        <w:rPr>
          <w:rFonts w:ascii="Calibri" w:hAnsi="Calibri" w:cs="Calibri"/>
        </w:rPr>
        <w:t xml:space="preserve">Through </w:t>
      </w:r>
      <w:r w:rsidRPr="00787451">
        <w:rPr>
          <w:rFonts w:ascii="Calibri" w:hAnsi="Calibri" w:cs="Calibri"/>
        </w:rPr>
        <w:t>MetLife</w:t>
      </w:r>
      <w:r w:rsidR="006718DA" w:rsidRPr="00787451">
        <w:rPr>
          <w:rFonts w:ascii="Calibri" w:hAnsi="Calibri" w:cs="Calibri"/>
        </w:rPr>
        <w:t xml:space="preserve">, </w:t>
      </w:r>
      <w:r w:rsidRPr="00787451">
        <w:rPr>
          <w:rFonts w:ascii="Calibri" w:hAnsi="Calibri" w:cs="Calibri"/>
        </w:rPr>
        <w:t xml:space="preserve">convenient, professional legal counsel, which provides fully covered legal advice and representation for most personal legal matters. </w:t>
      </w:r>
      <w:r w:rsidR="006718DA" w:rsidRPr="00787451">
        <w:rPr>
          <w:rFonts w:ascii="Calibri" w:hAnsi="Calibri" w:cs="Calibri"/>
        </w:rPr>
        <w:t xml:space="preserve"> </w:t>
      </w:r>
      <w:r w:rsidRPr="00787451">
        <w:rPr>
          <w:rFonts w:ascii="Calibri" w:hAnsi="Calibri" w:cs="Calibri"/>
        </w:rPr>
        <w:t>MetL</w:t>
      </w:r>
      <w:r w:rsidR="00EE147D" w:rsidRPr="00787451">
        <w:rPr>
          <w:rFonts w:ascii="Calibri" w:hAnsi="Calibri" w:cs="Calibri"/>
        </w:rPr>
        <w:t>aw</w:t>
      </w:r>
      <w:r w:rsidRPr="00787451">
        <w:rPr>
          <w:rFonts w:ascii="Calibri" w:hAnsi="Calibri" w:cs="Calibri"/>
        </w:rPr>
        <w:t xml:space="preserve"> covers most frequently needed personal legal matters like family </w:t>
      </w:r>
      <w:r w:rsidR="006718DA" w:rsidRPr="00787451">
        <w:rPr>
          <w:rFonts w:ascii="Calibri" w:hAnsi="Calibri" w:cs="Calibri"/>
        </w:rPr>
        <w:t>law</w:t>
      </w:r>
      <w:r w:rsidRPr="00787451">
        <w:rPr>
          <w:rFonts w:ascii="Calibri" w:hAnsi="Calibri" w:cs="Calibri"/>
        </w:rPr>
        <w:t>, home/real estate matters, traffic violations</w:t>
      </w:r>
      <w:r w:rsidR="006718DA" w:rsidRPr="00787451">
        <w:rPr>
          <w:rFonts w:ascii="Calibri" w:hAnsi="Calibri" w:cs="Calibri"/>
        </w:rPr>
        <w:t>,</w:t>
      </w:r>
      <w:r w:rsidRPr="00787451">
        <w:rPr>
          <w:rFonts w:ascii="Calibri" w:hAnsi="Calibri" w:cs="Calibri"/>
        </w:rPr>
        <w:t xml:space="preserve"> and more. </w:t>
      </w:r>
    </w:p>
    <w:p w14:paraId="3D607DC9" w14:textId="1C4A7557" w:rsidR="002A1AA6" w:rsidRPr="00787451" w:rsidRDefault="002A1AA6" w:rsidP="002A1AA6">
      <w:pPr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>ID Theft Protection</w:t>
      </w:r>
      <w:r w:rsidRPr="00787451">
        <w:rPr>
          <w:rFonts w:ascii="Calibri" w:hAnsi="Calibri" w:cs="Calibri"/>
        </w:rPr>
        <w:t xml:space="preserve"> – </w:t>
      </w:r>
      <w:r w:rsidR="006718DA" w:rsidRPr="00787451">
        <w:rPr>
          <w:rFonts w:ascii="Calibri" w:hAnsi="Calibri" w:cs="Calibri"/>
        </w:rPr>
        <w:t xml:space="preserve">Through </w:t>
      </w:r>
      <w:r w:rsidRPr="00787451">
        <w:rPr>
          <w:rFonts w:ascii="Calibri" w:hAnsi="Calibri" w:cs="Calibri"/>
        </w:rPr>
        <w:t>Norton LifeLock</w:t>
      </w:r>
      <w:r w:rsidR="006718DA" w:rsidRPr="00787451">
        <w:rPr>
          <w:rFonts w:ascii="Calibri" w:hAnsi="Calibri" w:cs="Calibri"/>
        </w:rPr>
        <w:t>, p</w:t>
      </w:r>
      <w:r w:rsidRPr="00787451">
        <w:rPr>
          <w:rFonts w:ascii="Calibri" w:hAnsi="Calibri" w:cs="Calibri"/>
        </w:rPr>
        <w:t>lans help protect your digital life by combining leading identity theft protection, device security, and more in an always-connected world.</w:t>
      </w:r>
      <w:r w:rsidR="006718DA" w:rsidRPr="00787451">
        <w:rPr>
          <w:rFonts w:ascii="Calibri" w:hAnsi="Calibri" w:cs="Calibri"/>
        </w:rPr>
        <w:t xml:space="preserve">  P</w:t>
      </w:r>
      <w:r w:rsidRPr="00787451">
        <w:rPr>
          <w:rFonts w:ascii="Calibri" w:hAnsi="Calibri" w:cs="Calibri"/>
        </w:rPr>
        <w:t>lans are enhanced and exclusive with features and pricing only available through your employer.</w:t>
      </w:r>
      <w:r w:rsidR="006718DA" w:rsidRPr="00787451">
        <w:rPr>
          <w:rFonts w:ascii="Calibri" w:hAnsi="Calibri" w:cs="Calibri"/>
        </w:rPr>
        <w:t xml:space="preserve"> </w:t>
      </w:r>
      <w:r w:rsidRPr="00787451">
        <w:rPr>
          <w:rFonts w:ascii="Calibri" w:hAnsi="Calibri" w:cs="Calibri"/>
        </w:rPr>
        <w:t xml:space="preserve"> There are two Norton LifeLock options for you to choose from. </w:t>
      </w:r>
    </w:p>
    <w:p w14:paraId="1C1E53E3" w14:textId="6A120B6B" w:rsidR="002A1AA6" w:rsidRPr="00787451" w:rsidRDefault="002A1AA6">
      <w:pPr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>Pet Insurance</w:t>
      </w:r>
      <w:r w:rsidRPr="00787451">
        <w:rPr>
          <w:rFonts w:ascii="Calibri" w:hAnsi="Calibri" w:cs="Calibri"/>
        </w:rPr>
        <w:t xml:space="preserve"> – </w:t>
      </w:r>
      <w:r w:rsidR="006718DA" w:rsidRPr="00787451">
        <w:rPr>
          <w:rFonts w:ascii="Calibri" w:hAnsi="Calibri" w:cs="Calibri"/>
        </w:rPr>
        <w:t xml:space="preserve">Through </w:t>
      </w:r>
      <w:r w:rsidRPr="00787451">
        <w:rPr>
          <w:rFonts w:ascii="Calibri" w:hAnsi="Calibri" w:cs="Calibri"/>
        </w:rPr>
        <w:t>Nationwide</w:t>
      </w:r>
      <w:r w:rsidR="006718DA" w:rsidRPr="00787451">
        <w:rPr>
          <w:rFonts w:ascii="Calibri" w:hAnsi="Calibri" w:cs="Calibri"/>
        </w:rPr>
        <w:t>,</w:t>
      </w:r>
      <w:r w:rsidRPr="00787451">
        <w:rPr>
          <w:rFonts w:ascii="Calibri" w:hAnsi="Calibri" w:cs="Calibri"/>
        </w:rPr>
        <w:t xml:space="preserve"> protecting your four-legged family members in an uncertain world isn’t always easy. </w:t>
      </w:r>
      <w:r w:rsidR="006718DA" w:rsidRPr="00787451">
        <w:rPr>
          <w:rFonts w:ascii="Calibri" w:hAnsi="Calibri" w:cs="Calibri"/>
        </w:rPr>
        <w:t xml:space="preserve"> </w:t>
      </w:r>
      <w:r w:rsidRPr="00787451">
        <w:rPr>
          <w:rFonts w:ascii="Calibri" w:hAnsi="Calibri" w:cs="Calibri"/>
        </w:rPr>
        <w:t>Nationwide helps you provide for your pets and protect your pocketbook by reimbursing you for eligible veterinary bills related to accidents, illnesses, preventive care</w:t>
      </w:r>
      <w:r w:rsidR="006718DA" w:rsidRPr="00787451">
        <w:rPr>
          <w:rFonts w:ascii="Calibri" w:hAnsi="Calibri" w:cs="Calibri"/>
        </w:rPr>
        <w:t>,</w:t>
      </w:r>
      <w:r w:rsidRPr="00787451">
        <w:rPr>
          <w:rFonts w:ascii="Calibri" w:hAnsi="Calibri" w:cs="Calibri"/>
        </w:rPr>
        <w:t xml:space="preserve"> and more. </w:t>
      </w:r>
    </w:p>
    <w:p w14:paraId="5F5C559C" w14:textId="6E559207" w:rsidR="00692A24" w:rsidRPr="00787451" w:rsidRDefault="00F70A5B">
      <w:pPr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>Travel Assistance and ID Theft Protection</w:t>
      </w:r>
      <w:r w:rsidRPr="00787451">
        <w:rPr>
          <w:rFonts w:ascii="Calibri" w:hAnsi="Calibri" w:cs="Calibri"/>
        </w:rPr>
        <w:t xml:space="preserve"> – TravelConnect® is a comprehensive Global Assistance Services program providing 24/7 emergency medical, security</w:t>
      </w:r>
      <w:r w:rsidR="006718DA" w:rsidRPr="00787451">
        <w:rPr>
          <w:rFonts w:ascii="Calibri" w:hAnsi="Calibri" w:cs="Calibri"/>
        </w:rPr>
        <w:t>,</w:t>
      </w:r>
      <w:r w:rsidRPr="00787451">
        <w:rPr>
          <w:rFonts w:ascii="Calibri" w:hAnsi="Calibri" w:cs="Calibri"/>
        </w:rPr>
        <w:t xml:space="preserve"> and travel assistance services when you are traveling</w:t>
      </w:r>
      <w:r w:rsidR="006718DA" w:rsidRPr="00787451">
        <w:rPr>
          <w:rFonts w:ascii="Calibri" w:hAnsi="Calibri" w:cs="Calibri"/>
        </w:rPr>
        <w:t xml:space="preserve"> more than 100 miles from your permanent primary r</w:t>
      </w:r>
      <w:r w:rsidRPr="00787451">
        <w:rPr>
          <w:rFonts w:ascii="Calibri" w:hAnsi="Calibri" w:cs="Calibri"/>
        </w:rPr>
        <w:t xml:space="preserve">esidence. </w:t>
      </w:r>
    </w:p>
    <w:p w14:paraId="19147B60" w14:textId="426DA926" w:rsidR="003F5F09" w:rsidRPr="00787451" w:rsidRDefault="001F19E1">
      <w:pPr>
        <w:rPr>
          <w:rFonts w:ascii="Calibri" w:hAnsi="Calibri" w:cs="Calibri"/>
        </w:rPr>
      </w:pPr>
      <w:r w:rsidRPr="00787451">
        <w:rPr>
          <w:rFonts w:ascii="Calibri" w:hAnsi="Calibri" w:cs="Calibri"/>
          <w:b/>
          <w:bCs/>
        </w:rPr>
        <w:t>BenefitHub</w:t>
      </w:r>
      <w:r w:rsidRPr="00787451">
        <w:rPr>
          <w:rFonts w:ascii="Calibri" w:hAnsi="Calibri" w:cs="Calibri"/>
        </w:rPr>
        <w:t xml:space="preserve"> </w:t>
      </w:r>
      <w:r w:rsidR="002A1AA6" w:rsidRPr="00787451">
        <w:rPr>
          <w:rFonts w:ascii="Calibri" w:hAnsi="Calibri" w:cs="Calibri"/>
        </w:rPr>
        <w:t xml:space="preserve">– </w:t>
      </w:r>
      <w:r w:rsidRPr="00787451">
        <w:rPr>
          <w:rFonts w:ascii="Calibri" w:hAnsi="Calibri" w:cs="Calibri"/>
        </w:rPr>
        <w:t xml:space="preserve">Employees have access to leading corporate discounts providers, </w:t>
      </w:r>
      <w:r w:rsidR="006718DA" w:rsidRPr="00787451">
        <w:rPr>
          <w:rFonts w:ascii="Calibri" w:hAnsi="Calibri" w:cs="Calibri"/>
        </w:rPr>
        <w:t>a one-</w:t>
      </w:r>
      <w:r w:rsidRPr="00787451">
        <w:rPr>
          <w:rFonts w:ascii="Calibri" w:hAnsi="Calibri" w:cs="Calibri"/>
        </w:rPr>
        <w:t xml:space="preserve">stop shop for hundreds of online discounts, </w:t>
      </w:r>
      <w:r w:rsidR="006718DA" w:rsidRPr="00787451">
        <w:rPr>
          <w:rFonts w:ascii="Calibri" w:hAnsi="Calibri" w:cs="Calibri"/>
        </w:rPr>
        <w:t xml:space="preserve">and </w:t>
      </w:r>
      <w:r w:rsidRPr="00787451">
        <w:rPr>
          <w:rFonts w:ascii="Calibri" w:hAnsi="Calibri" w:cs="Calibri"/>
        </w:rPr>
        <w:t>in-store coupons and hot deals, all in one place.</w:t>
      </w:r>
    </w:p>
    <w:sectPr w:rsidR="003F5F09" w:rsidRPr="00787451" w:rsidSect="005967D4">
      <w:head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F2DB" w14:textId="77777777" w:rsidR="0008108C" w:rsidRDefault="0008108C" w:rsidP="00391090">
      <w:pPr>
        <w:spacing w:after="0" w:line="240" w:lineRule="auto"/>
      </w:pPr>
      <w:r>
        <w:separator/>
      </w:r>
    </w:p>
  </w:endnote>
  <w:endnote w:type="continuationSeparator" w:id="0">
    <w:p w14:paraId="19FA9C1E" w14:textId="77777777" w:rsidR="0008108C" w:rsidRDefault="0008108C" w:rsidP="0039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4185" w14:textId="77777777" w:rsidR="0008108C" w:rsidRDefault="0008108C" w:rsidP="00391090">
      <w:pPr>
        <w:spacing w:after="0" w:line="240" w:lineRule="auto"/>
      </w:pPr>
      <w:r>
        <w:separator/>
      </w:r>
    </w:p>
  </w:footnote>
  <w:footnote w:type="continuationSeparator" w:id="0">
    <w:p w14:paraId="063F95D8" w14:textId="77777777" w:rsidR="0008108C" w:rsidRDefault="0008108C" w:rsidP="0039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A768" w14:textId="76DC590F" w:rsidR="00391090" w:rsidRDefault="00A20934" w:rsidP="00391090">
    <w:pPr>
      <w:pStyle w:val="Header"/>
      <w:tabs>
        <w:tab w:val="clear" w:pos="4680"/>
        <w:tab w:val="clear" w:pos="9360"/>
        <w:tab w:val="left" w:pos="3990"/>
      </w:tabs>
    </w:pPr>
    <w:r>
      <w:rPr>
        <w:noProof/>
      </w:rPr>
      <w:drawing>
        <wp:inline distT="0" distB="0" distL="0" distR="0" wp14:anchorId="7E517D1F" wp14:editId="463B84F4">
          <wp:extent cx="1419423" cy="676369"/>
          <wp:effectExtent l="0" t="0" r="9525" b="9525"/>
          <wp:docPr id="406514480" name="Picture 406514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423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1090"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50F"/>
    <w:multiLevelType w:val="hybridMultilevel"/>
    <w:tmpl w:val="D52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60D1"/>
    <w:multiLevelType w:val="hybridMultilevel"/>
    <w:tmpl w:val="022A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C254B"/>
    <w:multiLevelType w:val="hybridMultilevel"/>
    <w:tmpl w:val="B8D6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57A76"/>
    <w:multiLevelType w:val="hybridMultilevel"/>
    <w:tmpl w:val="C162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B7977"/>
    <w:multiLevelType w:val="hybridMultilevel"/>
    <w:tmpl w:val="54EA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236284">
    <w:abstractNumId w:val="4"/>
  </w:num>
  <w:num w:numId="2" w16cid:durableId="39979662">
    <w:abstractNumId w:val="1"/>
  </w:num>
  <w:num w:numId="3" w16cid:durableId="97797685">
    <w:abstractNumId w:val="2"/>
  </w:num>
  <w:num w:numId="4" w16cid:durableId="869612924">
    <w:abstractNumId w:val="3"/>
  </w:num>
  <w:num w:numId="5" w16cid:durableId="87674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E1"/>
    <w:rsid w:val="0000040A"/>
    <w:rsid w:val="00002895"/>
    <w:rsid w:val="00017C0E"/>
    <w:rsid w:val="0008108C"/>
    <w:rsid w:val="000837FD"/>
    <w:rsid w:val="00095BC6"/>
    <w:rsid w:val="0011365D"/>
    <w:rsid w:val="0014621C"/>
    <w:rsid w:val="00170609"/>
    <w:rsid w:val="001946C3"/>
    <w:rsid w:val="001F19E1"/>
    <w:rsid w:val="002A1AA6"/>
    <w:rsid w:val="002D448B"/>
    <w:rsid w:val="002E7F5B"/>
    <w:rsid w:val="002F039B"/>
    <w:rsid w:val="002F2F7D"/>
    <w:rsid w:val="00313D26"/>
    <w:rsid w:val="003155DC"/>
    <w:rsid w:val="00370DF9"/>
    <w:rsid w:val="00374348"/>
    <w:rsid w:val="00391090"/>
    <w:rsid w:val="003E0551"/>
    <w:rsid w:val="003F5F09"/>
    <w:rsid w:val="0043342F"/>
    <w:rsid w:val="00485216"/>
    <w:rsid w:val="004945C2"/>
    <w:rsid w:val="004A5EE6"/>
    <w:rsid w:val="004B1E67"/>
    <w:rsid w:val="004C42B7"/>
    <w:rsid w:val="004D18A8"/>
    <w:rsid w:val="004D26D4"/>
    <w:rsid w:val="004E25C9"/>
    <w:rsid w:val="00521E4F"/>
    <w:rsid w:val="00560F70"/>
    <w:rsid w:val="0056296C"/>
    <w:rsid w:val="00593062"/>
    <w:rsid w:val="005967D4"/>
    <w:rsid w:val="005A673B"/>
    <w:rsid w:val="005B7274"/>
    <w:rsid w:val="005D5196"/>
    <w:rsid w:val="005E088F"/>
    <w:rsid w:val="00606E96"/>
    <w:rsid w:val="00614283"/>
    <w:rsid w:val="006221DA"/>
    <w:rsid w:val="0065231F"/>
    <w:rsid w:val="00657BE8"/>
    <w:rsid w:val="006718DA"/>
    <w:rsid w:val="00675AC7"/>
    <w:rsid w:val="00677B8A"/>
    <w:rsid w:val="00692A24"/>
    <w:rsid w:val="006C5769"/>
    <w:rsid w:val="006E5F69"/>
    <w:rsid w:val="006F519F"/>
    <w:rsid w:val="00724975"/>
    <w:rsid w:val="007334F8"/>
    <w:rsid w:val="00747C36"/>
    <w:rsid w:val="007773EF"/>
    <w:rsid w:val="007835CC"/>
    <w:rsid w:val="00787451"/>
    <w:rsid w:val="007D300D"/>
    <w:rsid w:val="007F04D7"/>
    <w:rsid w:val="00817229"/>
    <w:rsid w:val="008262FF"/>
    <w:rsid w:val="0083377B"/>
    <w:rsid w:val="0089634F"/>
    <w:rsid w:val="008B5790"/>
    <w:rsid w:val="0090190A"/>
    <w:rsid w:val="0092010A"/>
    <w:rsid w:val="00951A97"/>
    <w:rsid w:val="00952D4D"/>
    <w:rsid w:val="009C32E7"/>
    <w:rsid w:val="009C62D2"/>
    <w:rsid w:val="00A033F7"/>
    <w:rsid w:val="00A20934"/>
    <w:rsid w:val="00A31DEF"/>
    <w:rsid w:val="00AF07B2"/>
    <w:rsid w:val="00BB0DAA"/>
    <w:rsid w:val="00BD6252"/>
    <w:rsid w:val="00BE3C41"/>
    <w:rsid w:val="00C0521F"/>
    <w:rsid w:val="00C11F65"/>
    <w:rsid w:val="00D12531"/>
    <w:rsid w:val="00D134D7"/>
    <w:rsid w:val="00D14D10"/>
    <w:rsid w:val="00D26E2F"/>
    <w:rsid w:val="00D46D89"/>
    <w:rsid w:val="00D67438"/>
    <w:rsid w:val="00D7308E"/>
    <w:rsid w:val="00D77A5C"/>
    <w:rsid w:val="00D85674"/>
    <w:rsid w:val="00DA1D5A"/>
    <w:rsid w:val="00DD7D8D"/>
    <w:rsid w:val="00E343BD"/>
    <w:rsid w:val="00E45D52"/>
    <w:rsid w:val="00E717B7"/>
    <w:rsid w:val="00E86DE6"/>
    <w:rsid w:val="00EC31EE"/>
    <w:rsid w:val="00EE147D"/>
    <w:rsid w:val="00EF71AF"/>
    <w:rsid w:val="00F50330"/>
    <w:rsid w:val="00F70A5B"/>
    <w:rsid w:val="00F72CEC"/>
    <w:rsid w:val="00F85DE4"/>
    <w:rsid w:val="00F97ECC"/>
    <w:rsid w:val="00FB044E"/>
    <w:rsid w:val="00FB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785A16"/>
  <w15:chartTrackingRefBased/>
  <w15:docId w15:val="{51463AAF-073A-4969-9B9C-D0B5D907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4"/>
  </w:style>
  <w:style w:type="paragraph" w:styleId="Heading1">
    <w:name w:val="heading 1"/>
    <w:basedOn w:val="Normal"/>
    <w:next w:val="Normal"/>
    <w:link w:val="Heading1Char"/>
    <w:uiPriority w:val="9"/>
    <w:qFormat/>
    <w:rsid w:val="001F1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9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90"/>
  </w:style>
  <w:style w:type="paragraph" w:styleId="Footer">
    <w:name w:val="footer"/>
    <w:basedOn w:val="Normal"/>
    <w:link w:val="FooterChar"/>
    <w:uiPriority w:val="99"/>
    <w:unhideWhenUsed/>
    <w:rsid w:val="0039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90"/>
  </w:style>
  <w:style w:type="table" w:styleId="TableGrid">
    <w:name w:val="Table Grid"/>
    <w:basedOn w:val="TableNormal"/>
    <w:uiPriority w:val="39"/>
    <w:rsid w:val="0078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1CE5-DE72-493E-9E85-C61C09C0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Lauren (MMA)</dc:creator>
  <cp:keywords/>
  <dc:description/>
  <cp:lastModifiedBy>Heather Bradley</cp:lastModifiedBy>
  <cp:revision>12</cp:revision>
  <dcterms:created xsi:type="dcterms:W3CDTF">2024-10-16T15:40:00Z</dcterms:created>
  <dcterms:modified xsi:type="dcterms:W3CDTF">2025-10-24T16:24:00Z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2024-10-09T02:25:15Z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b6d2ffef-4ab7-4c9a-9d12-95f0af70a6c9</vt:lpwstr>
  </property>
  <property fmtid="{D5CDD505-2E9C-101B-9397-08002B2CF9AE}" pid="8" name="MSIP_Label_38f1469a-2c2a-4aee-b92b-090d4c5468ff_ContentBits">
    <vt:lpwstr>0</vt:lpwstr>
  </property>
</Properties>
</file>